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29, 2026</w:t>
      </w:r>
    </w:p>
    <w:p>
      <w:pPr>
        <w:spacing w:after="0" w:line="2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PARK DENTAL PARTNERS, INC.</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740" w:type="dxa"/>
        <w:tblCellMar>
          <w:top w:w="0" w:type="dxa"/>
          <w:left w:w="0" w:type="dxa"/>
          <w:bottom w:w="0" w:type="dxa"/>
          <w:right w:w="0" w:type="dxa"/>
        </w:tblCellMar>
      </w:tblPr>
      <w:tr>
        <w:trPr>
          <w:trHeight w:val="220"/>
        </w:trPr>
        <w:tc>
          <w:tcPr>
            <w:tcW w:w="232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Minnesota</w:t>
            </w:r>
          </w:p>
        </w:tc>
        <w:tc>
          <w:tcPr>
            <w:tcW w:w="532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001-42967</w:t>
            </w:r>
          </w:p>
        </w:tc>
        <w:tc>
          <w:tcPr>
            <w:tcW w:w="1740" w:type="dxa"/>
            <w:vAlign w:val="bottom"/>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rPr>
              <w:t>93-2020683</w:t>
            </w:r>
          </w:p>
        </w:tc>
      </w:tr>
      <w:tr>
        <w:trPr>
          <w:trHeight w:val="216"/>
        </w:trPr>
        <w:tc>
          <w:tcPr>
            <w:tcW w:w="232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53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8"/>
              </w:rPr>
              <w:t>(Commission</w:t>
            </w:r>
          </w:p>
        </w:tc>
        <w:tc>
          <w:tcPr>
            <w:tcW w:w="174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32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8"/>
              </w:rPr>
              <w:t>Incorporation)</w:t>
            </w:r>
          </w:p>
        </w:tc>
        <w:tc>
          <w:tcPr>
            <w:tcW w:w="53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8"/>
              </w:rPr>
              <w:t>File Number)</w:t>
            </w:r>
          </w:p>
        </w:tc>
        <w:tc>
          <w:tcPr>
            <w:tcW w:w="174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2320" w:type="dxa"/>
            <w:vAlign w:val="bottom"/>
          </w:tcPr>
          <w:p>
            <w:pPr>
              <w:spacing w:after="0"/>
              <w:rPr>
                <w:sz w:val="24"/>
                <w:szCs w:val="24"/>
                <w:color w:val="auto"/>
              </w:rPr>
            </w:pPr>
          </w:p>
        </w:tc>
        <w:tc>
          <w:tcPr>
            <w:tcW w:w="53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2200 County Road C West, Suite 2210</w:t>
            </w:r>
          </w:p>
        </w:tc>
        <w:tc>
          <w:tcPr>
            <w:tcW w:w="1740" w:type="dxa"/>
            <w:vAlign w:val="bottom"/>
          </w:tcPr>
          <w:p>
            <w:pPr>
              <w:spacing w:after="0"/>
              <w:rPr>
                <w:sz w:val="24"/>
                <w:szCs w:val="24"/>
                <w:color w:val="auto"/>
              </w:rPr>
            </w:pPr>
          </w:p>
        </w:tc>
      </w:tr>
      <w:tr>
        <w:trPr>
          <w:trHeight w:val="220"/>
        </w:trPr>
        <w:tc>
          <w:tcPr>
            <w:tcW w:w="2320" w:type="dxa"/>
            <w:vAlign w:val="bottom"/>
          </w:tcPr>
          <w:p>
            <w:pPr>
              <w:spacing w:after="0"/>
              <w:rPr>
                <w:sz w:val="19"/>
                <w:szCs w:val="19"/>
                <w:color w:val="auto"/>
              </w:rPr>
            </w:pPr>
          </w:p>
        </w:tc>
        <w:tc>
          <w:tcPr>
            <w:tcW w:w="53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Roseville, Minnesota 55113</w:t>
            </w:r>
          </w:p>
        </w:tc>
        <w:tc>
          <w:tcPr>
            <w:tcW w:w="1740" w:type="dxa"/>
            <w:vAlign w:val="bottom"/>
          </w:tcPr>
          <w:p>
            <w:pPr>
              <w:spacing w:after="0"/>
              <w:rPr>
                <w:sz w:val="19"/>
                <w:szCs w:val="19"/>
                <w:color w:val="auto"/>
              </w:rPr>
            </w:pPr>
          </w:p>
        </w:tc>
      </w:tr>
      <w:tr>
        <w:trPr>
          <w:trHeight w:val="234"/>
        </w:trPr>
        <w:tc>
          <w:tcPr>
            <w:tcW w:w="2320" w:type="dxa"/>
            <w:vAlign w:val="bottom"/>
          </w:tcPr>
          <w:p>
            <w:pPr>
              <w:spacing w:after="0"/>
              <w:rPr>
                <w:sz w:val="20"/>
                <w:szCs w:val="20"/>
                <w:color w:val="auto"/>
              </w:rPr>
            </w:pPr>
          </w:p>
        </w:tc>
        <w:tc>
          <w:tcPr>
            <w:tcW w:w="53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tc>
        <w:tc>
          <w:tcPr>
            <w:tcW w:w="1740" w:type="dxa"/>
            <w:vAlign w:val="bottom"/>
          </w:tcPr>
          <w:p>
            <w:pPr>
              <w:spacing w:after="0"/>
              <w:rPr>
                <w:sz w:val="20"/>
                <w:szCs w:val="20"/>
                <w:color w:val="auto"/>
              </w:rPr>
            </w:pPr>
          </w:p>
        </w:tc>
      </w:tr>
      <w:tr>
        <w:trPr>
          <w:trHeight w:val="414"/>
        </w:trPr>
        <w:tc>
          <w:tcPr>
            <w:tcW w:w="2320" w:type="dxa"/>
            <w:vAlign w:val="bottom"/>
          </w:tcPr>
          <w:p>
            <w:pPr>
              <w:spacing w:after="0"/>
              <w:rPr>
                <w:sz w:val="24"/>
                <w:szCs w:val="24"/>
                <w:color w:val="auto"/>
              </w:rPr>
            </w:pPr>
          </w:p>
        </w:tc>
        <w:tc>
          <w:tcPr>
            <w:tcW w:w="532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(651) 633-0500</w:t>
            </w:r>
          </w:p>
        </w:tc>
        <w:tc>
          <w:tcPr>
            <w:tcW w:w="1740" w:type="dxa"/>
            <w:vAlign w:val="bottom"/>
          </w:tcPr>
          <w:p>
            <w:pPr>
              <w:spacing w:after="0"/>
              <w:rPr>
                <w:sz w:val="24"/>
                <w:szCs w:val="24"/>
                <w:color w:val="auto"/>
              </w:rPr>
            </w:pPr>
          </w:p>
        </w:tc>
      </w:tr>
      <w:tr>
        <w:trPr>
          <w:trHeight w:val="234"/>
        </w:trPr>
        <w:tc>
          <w:tcPr>
            <w:tcW w:w="2320" w:type="dxa"/>
            <w:vAlign w:val="bottom"/>
          </w:tcPr>
          <w:p>
            <w:pPr>
              <w:spacing w:after="0"/>
              <w:rPr>
                <w:sz w:val="20"/>
                <w:szCs w:val="20"/>
                <w:color w:val="auto"/>
              </w:rPr>
            </w:pPr>
          </w:p>
        </w:tc>
        <w:tc>
          <w:tcPr>
            <w:tcW w:w="532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1740" w:type="dxa"/>
            <w:vAlign w:val="bottom"/>
          </w:tcPr>
          <w:p>
            <w:pPr>
              <w:spacing w:after="0"/>
              <w:rPr>
                <w:sz w:val="20"/>
                <w:szCs w:val="20"/>
                <w:color w:val="auto"/>
              </w:rPr>
            </w:pPr>
          </w:p>
        </w:tc>
      </w:tr>
      <w:tr>
        <w:trPr>
          <w:trHeight w:val="414"/>
        </w:trPr>
        <w:tc>
          <w:tcPr>
            <w:tcW w:w="2320" w:type="dxa"/>
            <w:vAlign w:val="bottom"/>
          </w:tcPr>
          <w:p>
            <w:pPr>
              <w:spacing w:after="0"/>
              <w:rPr>
                <w:sz w:val="24"/>
                <w:szCs w:val="24"/>
                <w:color w:val="auto"/>
              </w:rPr>
            </w:pPr>
          </w:p>
        </w:tc>
        <w:tc>
          <w:tcPr>
            <w:tcW w:w="532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Not Applicable</w:t>
            </w:r>
          </w:p>
        </w:tc>
        <w:tc>
          <w:tcPr>
            <w:tcW w:w="1740" w:type="dxa"/>
            <w:vAlign w:val="bottom"/>
          </w:tcPr>
          <w:p>
            <w:pPr>
              <w:spacing w:after="0"/>
              <w:rPr>
                <w:sz w:val="24"/>
                <w:szCs w:val="24"/>
                <w:color w:val="auto"/>
              </w:rPr>
            </w:pPr>
          </w:p>
        </w:tc>
      </w:tr>
      <w:tr>
        <w:trPr>
          <w:trHeight w:val="234"/>
        </w:trPr>
        <w:tc>
          <w:tcPr>
            <w:tcW w:w="2320" w:type="dxa"/>
            <w:vAlign w:val="bottom"/>
          </w:tcPr>
          <w:p>
            <w:pPr>
              <w:spacing w:after="0"/>
              <w:rPr>
                <w:sz w:val="20"/>
                <w:szCs w:val="20"/>
                <w:color w:val="auto"/>
              </w:rPr>
            </w:pPr>
          </w:p>
        </w:tc>
        <w:tc>
          <w:tcPr>
            <w:tcW w:w="532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(Former Name or Former Address, if Changed Since Last Report)</w:t>
            </w:r>
          </w:p>
        </w:tc>
        <w:tc>
          <w:tcPr>
            <w:tcW w:w="1740" w:type="dxa"/>
            <w:vAlign w:val="bottom"/>
          </w:tcPr>
          <w:p>
            <w:pPr>
              <w:spacing w:after="0"/>
              <w:rPr>
                <w:sz w:val="20"/>
                <w:szCs w:val="20"/>
                <w:color w:val="auto"/>
              </w:rPr>
            </w:pPr>
          </w:p>
        </w:tc>
      </w:tr>
    </w:tbl>
    <w:p>
      <w:pPr>
        <w:spacing w:after="0" w:line="19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23" w:lineRule="exact"/>
        <w:rPr>
          <w:sz w:val="24"/>
          <w:szCs w:val="24"/>
          <w:color w:val="auto"/>
        </w:rPr>
      </w:pPr>
    </w:p>
    <w:tbl>
      <w:tblPr>
        <w:tblLayout w:type="fixed"/>
        <w:tblInd w:w="10" w:type="dxa"/>
        <w:tblCellMar>
          <w:top w:w="0" w:type="dxa"/>
          <w:left w:w="0" w:type="dxa"/>
          <w:bottom w:w="0" w:type="dxa"/>
          <w:right w:w="0" w:type="dxa"/>
        </w:tblCellMar>
      </w:tblPr>
      <w:tr>
        <w:trPr>
          <w:trHeight w:val="207"/>
        </w:trPr>
        <w:tc>
          <w:tcPr>
            <w:tcW w:w="442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9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Trading</w:t>
            </w:r>
          </w:p>
        </w:tc>
        <w:tc>
          <w:tcPr>
            <w:tcW w:w="39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w:t>
            </w:r>
          </w:p>
        </w:tc>
      </w:tr>
      <w:tr>
        <w:trPr>
          <w:trHeight w:val="238"/>
        </w:trPr>
        <w:tc>
          <w:tcPr>
            <w:tcW w:w="4420" w:type="dxa"/>
            <w:vAlign w:val="bottom"/>
            <w:tcBorders>
              <w:left w:val="single" w:sz="8" w:color="auto"/>
              <w:bottom w:val="single" w:sz="8" w:color="auto"/>
              <w:right w:val="single" w:sz="8" w:color="auto"/>
            </w:tcBorders>
          </w:tcPr>
          <w:p>
            <w:pPr>
              <w:spacing w:after="0"/>
              <w:rPr>
                <w:sz w:val="20"/>
                <w:szCs w:val="20"/>
                <w:color w:val="auto"/>
              </w:rPr>
            </w:pPr>
          </w:p>
        </w:tc>
        <w:tc>
          <w:tcPr>
            <w:tcW w:w="2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3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r>
      <w:tr>
        <w:trPr>
          <w:trHeight w:val="210"/>
        </w:trPr>
        <w:tc>
          <w:tcPr>
            <w:tcW w:w="44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par value $0.0001 per share</w:t>
            </w:r>
          </w:p>
        </w:tc>
        <w:tc>
          <w:tcPr>
            <w:tcW w:w="2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PARK</w:t>
            </w:r>
          </w:p>
        </w:tc>
        <w:tc>
          <w:tcPr>
            <w:tcW w:w="3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98"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Wingdings" w:cs="Wingdings" w:eastAsia="Wingdings" w:hAnsi="Wingdings"/>
          <w:sz w:val="18"/>
          <w:szCs w:val="18"/>
          <w:b w:val="1"/>
          <w:bCs w:val="1"/>
          <w:color w:val="auto"/>
        </w:rPr>
        <w:t>x</w:t>
      </w:r>
    </w:p>
    <w:p>
      <w:pPr>
        <w:spacing w:after="0" w:line="225" w:lineRule="exact"/>
        <w:rPr>
          <w:sz w:val="24"/>
          <w:szCs w:val="24"/>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x</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626110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May 29, 2026, Park Dental Partners, Inc. (the “Company”) held its 2026 Annual Meeting of Shareholders (the “Annual Meeting”) for the purposes of</w:t>
      </w:r>
    </w:p>
    <w:p>
      <w:pPr>
        <w:spacing w:after="0" w:line="27" w:lineRule="exact"/>
        <w:rPr>
          <w:sz w:val="20"/>
          <w:szCs w:val="20"/>
          <w:color w:val="auto"/>
        </w:rPr>
      </w:pPr>
    </w:p>
    <w:p>
      <w:pPr>
        <w:ind w:right="340" w:firstLine="8"/>
        <w:spacing w:after="0" w:line="255" w:lineRule="auto"/>
        <w:tabs>
          <w:tab w:leader="none" w:pos="21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electing the Class II director named in the definitive proxy statement for the Annual Meeting filed with the Securities and Exchange Commission on April 10, 2026 (the “Proxy Statement”); and (ii) ratifying the appointment of Deloitte &amp; Touche LLP as the Company’s independent registered public accounting firm for the fiscal year ending December 31, 2026.</w:t>
      </w:r>
    </w:p>
    <w:p>
      <w:pPr>
        <w:spacing w:after="0" w:line="18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As of the record date of March 30, 2026, there were 6,608,919 shares of the Company’s common stock, par value $0.0001 per share, entitled to vote at the Annual Meeting, including restricted shares entitled to vote prior to vesting. A total of 5,279,595 shares were represented in person or by proxy at the Annual Meeting, constituting a quorum. The final results of the shareholder vote are set forth below.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1: Election of Director</w:t>
      </w:r>
    </w:p>
    <w:p>
      <w:pPr>
        <w:spacing w:after="0" w:line="229"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Company’s shareholders elected Christopher C. Smith as a Class II director to serve until the Company’s 2029 annual meeting of shareholders and until his successor is duly elected and qualified. The director was elected by the votes indicated.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20" w:type="dxa"/>
            <w:vAlign w:val="bottom"/>
            <w:gridSpan w:val="2"/>
          </w:tcPr>
          <w:p>
            <w:pPr>
              <w:ind w:left="1020"/>
              <w:spacing w:after="0"/>
              <w:rPr>
                <w:sz w:val="20"/>
                <w:szCs w:val="20"/>
                <w:color w:val="auto"/>
              </w:rPr>
            </w:pPr>
            <w:r>
              <w:rPr>
                <w:rFonts w:ascii="Times New Roman" w:cs="Times New Roman" w:eastAsia="Times New Roman" w:hAnsi="Times New Roman"/>
                <w:sz w:val="18"/>
                <w:szCs w:val="18"/>
                <w:b w:val="1"/>
                <w:bCs w:val="1"/>
                <w:color w:val="auto"/>
              </w:rPr>
              <w:t>Nominee</w:t>
            </w:r>
          </w:p>
        </w:tc>
        <w:tc>
          <w:tcPr>
            <w:tcW w:w="2940" w:type="dxa"/>
            <w:vAlign w:val="bottom"/>
            <w:gridSpan w:val="2"/>
          </w:tcPr>
          <w:p>
            <w:pPr>
              <w:ind w:left="1220"/>
              <w:spacing w:after="0"/>
              <w:rPr>
                <w:sz w:val="20"/>
                <w:szCs w:val="20"/>
                <w:color w:val="auto"/>
              </w:rPr>
            </w:pPr>
            <w:r>
              <w:rPr>
                <w:rFonts w:ascii="Times New Roman" w:cs="Times New Roman" w:eastAsia="Times New Roman" w:hAnsi="Times New Roman"/>
                <w:sz w:val="18"/>
                <w:szCs w:val="18"/>
                <w:b w:val="1"/>
                <w:bCs w:val="1"/>
                <w:color w:val="auto"/>
              </w:rPr>
              <w:t>For</w:t>
            </w:r>
          </w:p>
        </w:tc>
        <w:tc>
          <w:tcPr>
            <w:tcW w:w="2800" w:type="dxa"/>
            <w:vAlign w:val="bottom"/>
            <w:gridSpan w:val="2"/>
          </w:tcPr>
          <w:p>
            <w:pPr>
              <w:ind w:left="920"/>
              <w:spacing w:after="0"/>
              <w:rPr>
                <w:sz w:val="20"/>
                <w:szCs w:val="20"/>
                <w:color w:val="auto"/>
              </w:rPr>
            </w:pPr>
            <w:r>
              <w:rPr>
                <w:rFonts w:ascii="Times New Roman" w:cs="Times New Roman" w:eastAsia="Times New Roman" w:hAnsi="Times New Roman"/>
                <w:sz w:val="18"/>
                <w:szCs w:val="18"/>
                <w:b w:val="1"/>
                <w:bCs w:val="1"/>
                <w:color w:val="auto"/>
              </w:rPr>
              <w:t>Withheld</w:t>
            </w:r>
          </w:p>
        </w:tc>
        <w:tc>
          <w:tcPr>
            <w:tcW w:w="2680" w:type="dxa"/>
            <w:vAlign w:val="bottom"/>
            <w:gridSpan w:val="2"/>
          </w:tcPr>
          <w:p>
            <w:pPr>
              <w:ind w:left="60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23"/>
        </w:trPr>
        <w:tc>
          <w:tcPr>
            <w:tcW w:w="27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Christopher C. Smith</w:t>
            </w:r>
          </w:p>
        </w:tc>
        <w:tc>
          <w:tcPr>
            <w:tcW w:w="120" w:type="dxa"/>
            <w:vAlign w:val="bottom"/>
            <w:tcBorders>
              <w:top w:val="single" w:sz="8" w:color="CCEEFF"/>
            </w:tcBorders>
            <w:shd w:val="clear" w:color="auto" w:fill="CCEEFF"/>
          </w:tcPr>
          <w:p>
            <w:pPr>
              <w:spacing w:after="0"/>
              <w:rPr>
                <w:sz w:val="19"/>
                <w:szCs w:val="19"/>
                <w:color w:val="auto"/>
              </w:rPr>
            </w:pPr>
          </w:p>
        </w:tc>
        <w:tc>
          <w:tcPr>
            <w:tcW w:w="2720" w:type="dxa"/>
            <w:vAlign w:val="bottom"/>
            <w:tcBorders>
              <w:top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4,214,835</w:t>
            </w:r>
          </w:p>
        </w:tc>
        <w:tc>
          <w:tcPr>
            <w:tcW w:w="220" w:type="dxa"/>
            <w:vAlign w:val="bottom"/>
            <w:tcBorders>
              <w:top w:val="single" w:sz="8" w:color="CCEEFF"/>
            </w:tcBorders>
            <w:shd w:val="clear" w:color="auto" w:fill="CCEEFF"/>
          </w:tcPr>
          <w:p>
            <w:pPr>
              <w:spacing w:after="0"/>
              <w:rPr>
                <w:sz w:val="19"/>
                <w:szCs w:val="19"/>
                <w:color w:val="auto"/>
              </w:rPr>
            </w:pPr>
          </w:p>
        </w:tc>
        <w:tc>
          <w:tcPr>
            <w:tcW w:w="2580" w:type="dxa"/>
            <w:vAlign w:val="bottom"/>
            <w:tcBorders>
              <w:top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586,587</w:t>
            </w:r>
          </w:p>
        </w:tc>
        <w:tc>
          <w:tcPr>
            <w:tcW w:w="220" w:type="dxa"/>
            <w:vAlign w:val="bottom"/>
            <w:tcBorders>
              <w:top w:val="single" w:sz="8" w:color="CCEEFF"/>
            </w:tcBorders>
            <w:shd w:val="clear" w:color="auto" w:fill="CCEEFF"/>
          </w:tcPr>
          <w:p>
            <w:pPr>
              <w:spacing w:after="0"/>
              <w:rPr>
                <w:sz w:val="19"/>
                <w:szCs w:val="19"/>
                <w:color w:val="auto"/>
              </w:rPr>
            </w:pPr>
          </w:p>
        </w:tc>
        <w:tc>
          <w:tcPr>
            <w:tcW w:w="2580" w:type="dxa"/>
            <w:vAlign w:val="bottom"/>
            <w:tcBorders>
              <w:top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478,173</w:t>
            </w:r>
          </w:p>
        </w:tc>
        <w:tc>
          <w:tcPr>
            <w:tcW w:w="100" w:type="dxa"/>
            <w:vAlign w:val="bottom"/>
            <w:tcBorders>
              <w:top w:val="single" w:sz="8" w:color="CCEEFF"/>
            </w:tcBorders>
            <w:shd w:val="clear" w:color="auto" w:fill="CCEEFF"/>
          </w:tcPr>
          <w:p>
            <w:pPr>
              <w:spacing w:after="0"/>
              <w:rPr>
                <w:sz w:val="19"/>
                <w:szCs w:val="19"/>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2: Ratification of Appointment of Independent Registered Public Accounting Firm</w:t>
      </w:r>
    </w:p>
    <w:p>
      <w:pPr>
        <w:spacing w:after="0" w:line="22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Company’s shareholders ratified the appointment of Deloitte &amp; Touche LLP as the Company’s independent registered public accounting firm for the fiscal year ending December 31, 2026. The appointment was ratified by the votes indicated.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80" w:type="dxa"/>
            <w:vAlign w:val="bottom"/>
            <w:gridSpan w:val="3"/>
          </w:tcPr>
          <w:p>
            <w:pPr>
              <w:ind w:left="1220"/>
              <w:spacing w:after="0"/>
              <w:rPr>
                <w:sz w:val="20"/>
                <w:szCs w:val="20"/>
                <w:color w:val="auto"/>
              </w:rPr>
            </w:pPr>
            <w:r>
              <w:rPr>
                <w:rFonts w:ascii="Times New Roman" w:cs="Times New Roman" w:eastAsia="Times New Roman" w:hAnsi="Times New Roman"/>
                <w:sz w:val="18"/>
                <w:szCs w:val="18"/>
                <w:b w:val="1"/>
                <w:bCs w:val="1"/>
                <w:color w:val="auto"/>
              </w:rPr>
              <w:t>For</w:t>
            </w:r>
          </w:p>
        </w:tc>
        <w:tc>
          <w:tcPr>
            <w:tcW w:w="128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0" w:type="dxa"/>
            <w:vAlign w:val="bottom"/>
            <w:gridSpan w:val="2"/>
          </w:tcPr>
          <w:p>
            <w:pPr>
              <w:ind w:left="98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2680" w:type="dxa"/>
            <w:vAlign w:val="bottom"/>
            <w:gridSpan w:val="2"/>
          </w:tcPr>
          <w:p>
            <w:pPr>
              <w:ind w:left="60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10"/>
        </w:trPr>
        <w:tc>
          <w:tcPr>
            <w:tcW w:w="2700" w:type="dxa"/>
            <w:vAlign w:val="bottom"/>
            <w:tcBorders>
              <w:top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5,145,444</w:t>
            </w:r>
          </w:p>
        </w:tc>
        <w:tc>
          <w:tcPr>
            <w:tcW w:w="1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1,047</w:t>
            </w:r>
          </w:p>
        </w:tc>
        <w:tc>
          <w:tcPr>
            <w:tcW w:w="5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133,104</w:t>
            </w:r>
          </w:p>
        </w:tc>
        <w:tc>
          <w:tcPr>
            <w:tcW w:w="2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Borders>
              <w:top w:val="single" w:sz="8" w:color="CCEEFF"/>
            </w:tcBorders>
            <w:shd w:val="clear" w:color="auto" w:fill="CCEEFF"/>
          </w:tcPr>
          <w:p>
            <w:pPr>
              <w:spacing w:after="0"/>
              <w:rPr>
                <w:sz w:val="18"/>
                <w:szCs w:val="18"/>
                <w:color w:val="auto"/>
              </w:rPr>
            </w:pPr>
          </w:p>
        </w:tc>
      </w:tr>
      <w:tr>
        <w:trPr>
          <w:trHeight w:val="432"/>
        </w:trPr>
        <w:tc>
          <w:tcPr>
            <w:tcW w:w="36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tc>
        <w:tc>
          <w:tcPr>
            <w:tcW w:w="1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3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 Exhibits.</w:t>
            </w:r>
          </w:p>
        </w:tc>
        <w:tc>
          <w:tcPr>
            <w:tcW w:w="1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36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2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2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70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w:t>
            </w:r>
          </w:p>
        </w:tc>
      </w:tr>
      <w:tr>
        <w:trPr>
          <w:trHeight w:val="432"/>
        </w:trPr>
        <w:tc>
          <w:tcPr>
            <w:tcW w:w="2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380" w:type="dxa"/>
            <w:vAlign w:val="bottom"/>
            <w:gridSpan w:val="3"/>
          </w:tcPr>
          <w:p>
            <w:pPr>
              <w:jc w:val="right"/>
              <w:ind w:right="2450"/>
              <w:spacing w:after="0"/>
              <w:rPr>
                <w:sz w:val="20"/>
                <w:szCs w:val="20"/>
                <w:color w:val="auto"/>
              </w:rPr>
            </w:pPr>
            <w:r>
              <w:rPr>
                <w:rFonts w:ascii="Times New Roman" w:cs="Times New Roman" w:eastAsia="Times New Roman" w:hAnsi="Times New Roman"/>
                <w:sz w:val="18"/>
                <w:szCs w:val="18"/>
                <w:color w:val="auto"/>
              </w:rPr>
              <w:t>* * *</w:t>
            </w:r>
          </w:p>
        </w:tc>
        <w:tc>
          <w:tcPr>
            <w:tcW w:w="2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75"/>
        </w:trPr>
        <w:tc>
          <w:tcPr>
            <w:tcW w:w="2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00" w:type="dxa"/>
            <w:vAlign w:val="bottom"/>
          </w:tcPr>
          <w:p>
            <w:pPr>
              <w:spacing w:after="0"/>
              <w:rPr>
                <w:sz w:val="20"/>
                <w:szCs w:val="20"/>
                <w:color w:val="auto"/>
              </w:rPr>
            </w:pPr>
          </w:p>
        </w:tc>
        <w:tc>
          <w:tcPr>
            <w:tcW w:w="7740" w:type="dxa"/>
            <w:vAlign w:val="bottom"/>
            <w:gridSpan w:val="2"/>
          </w:tcPr>
          <w:p>
            <w:pPr>
              <w:ind w:left="2140"/>
              <w:spacing w:after="0"/>
              <w:rPr>
                <w:sz w:val="20"/>
                <w:szCs w:val="20"/>
                <w:color w:val="auto"/>
              </w:rPr>
            </w:pPr>
            <w:r>
              <w:rPr>
                <w:rFonts w:ascii="Times New Roman" w:cs="Times New Roman" w:eastAsia="Times New Roman" w:hAnsi="Times New Roman"/>
                <w:sz w:val="18"/>
                <w:szCs w:val="18"/>
                <w:b w:val="1"/>
                <w:bCs w:val="1"/>
                <w:color w:val="auto"/>
              </w:rPr>
              <w:t>PARK DENTAL PARTNERS, INC.</w:t>
            </w:r>
          </w:p>
        </w:tc>
      </w:tr>
      <w:tr>
        <w:trPr>
          <w:trHeight w:val="432"/>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June 2, 2026</w:t>
            </w:r>
          </w:p>
        </w:tc>
        <w:tc>
          <w:tcPr>
            <w:tcW w:w="7740" w:type="dxa"/>
            <w:vAlign w:val="bottom"/>
            <w:gridSpan w:val="2"/>
          </w:tcPr>
          <w:p>
            <w:pPr>
              <w:ind w:left="2140"/>
              <w:spacing w:after="0"/>
              <w:rPr>
                <w:sz w:val="20"/>
                <w:szCs w:val="20"/>
                <w:color w:val="auto"/>
              </w:rPr>
            </w:pPr>
            <w:r>
              <w:rPr>
                <w:rFonts w:ascii="Times New Roman" w:cs="Times New Roman" w:eastAsia="Times New Roman" w:hAnsi="Times New Roman"/>
                <w:sz w:val="18"/>
                <w:szCs w:val="18"/>
                <w:color w:val="auto"/>
              </w:rPr>
              <w:t>By: /s/ Peter G. Swenson</w:t>
            </w:r>
          </w:p>
        </w:tc>
      </w:tr>
      <w:tr>
        <w:trPr>
          <w:trHeight w:val="20"/>
        </w:trPr>
        <w:tc>
          <w:tcPr>
            <w:tcW w:w="35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5280" w:type="dxa"/>
            <w:vAlign w:val="bottom"/>
            <w:shd w:val="clear" w:color="auto" w:fill="000000"/>
          </w:tcPr>
          <w:p>
            <w:pPr>
              <w:spacing w:after="0" w:line="20" w:lineRule="exact"/>
              <w:rPr>
                <w:sz w:val="1"/>
                <w:szCs w:val="1"/>
                <w:color w:val="auto"/>
              </w:rPr>
            </w:pPr>
          </w:p>
        </w:tc>
      </w:tr>
      <w:tr>
        <w:trPr>
          <w:trHeight w:val="178"/>
        </w:trPr>
        <w:tc>
          <w:tcPr>
            <w:tcW w:w="3500" w:type="dxa"/>
            <w:vAlign w:val="bottom"/>
          </w:tcPr>
          <w:p>
            <w:pPr>
              <w:spacing w:after="0"/>
              <w:rPr>
                <w:sz w:val="15"/>
                <w:szCs w:val="15"/>
                <w:color w:val="auto"/>
              </w:rPr>
            </w:pPr>
          </w:p>
        </w:tc>
        <w:tc>
          <w:tcPr>
            <w:tcW w:w="7740" w:type="dxa"/>
            <w:vAlign w:val="bottom"/>
            <w:gridSpan w:val="2"/>
          </w:tcPr>
          <w:p>
            <w:pPr>
              <w:ind w:left="2140"/>
              <w:spacing w:after="0" w:line="177" w:lineRule="exact"/>
              <w:rPr>
                <w:sz w:val="20"/>
                <w:szCs w:val="20"/>
                <w:color w:val="auto"/>
              </w:rPr>
            </w:pPr>
            <w:r>
              <w:rPr>
                <w:rFonts w:ascii="Times New Roman" w:cs="Times New Roman" w:eastAsia="Times New Roman" w:hAnsi="Times New Roman"/>
                <w:sz w:val="18"/>
                <w:szCs w:val="18"/>
                <w:color w:val="auto"/>
              </w:rPr>
              <w:t>Name: Peter G. Swenson</w:t>
            </w:r>
          </w:p>
        </w:tc>
      </w:tr>
      <w:tr>
        <w:trPr>
          <w:trHeight w:val="234"/>
        </w:trPr>
        <w:tc>
          <w:tcPr>
            <w:tcW w:w="3500" w:type="dxa"/>
            <w:vAlign w:val="bottom"/>
          </w:tcPr>
          <w:p>
            <w:pPr>
              <w:spacing w:after="0"/>
              <w:rPr>
                <w:sz w:val="20"/>
                <w:szCs w:val="20"/>
                <w:color w:val="auto"/>
              </w:rPr>
            </w:pPr>
          </w:p>
        </w:tc>
        <w:tc>
          <w:tcPr>
            <w:tcW w:w="7740" w:type="dxa"/>
            <w:vAlign w:val="bottom"/>
            <w:gridSpan w:val="2"/>
          </w:tcPr>
          <w:p>
            <w:pPr>
              <w:ind w:left="2140"/>
              <w:spacing w:after="0"/>
              <w:rPr>
                <w:sz w:val="20"/>
                <w:szCs w:val="20"/>
                <w:color w:val="auto"/>
              </w:rPr>
            </w:pPr>
            <w:r>
              <w:rPr>
                <w:rFonts w:ascii="Times New Roman" w:cs="Times New Roman" w:eastAsia="Times New Roman" w:hAnsi="Times New Roman"/>
                <w:sz w:val="18"/>
                <w:szCs w:val="18"/>
                <w:color w:val="auto"/>
              </w:rPr>
              <w:t>Title: Chief Executive Officer and Chair</w:t>
            </w:r>
          </w:p>
        </w:tc>
      </w:tr>
      <w:tr>
        <w:trPr>
          <w:trHeight w:val="675"/>
        </w:trPr>
        <w:tc>
          <w:tcPr>
            <w:tcW w:w="350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Roman"/>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2026-06-02T15:15:42Z</dcterms:created>
  <dcterms:modified xsi:type="dcterms:W3CDTF">2026-06-02T15:15:42Z</dcterms:modified>
</cp:coreProperties>
</file>