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ark-20260331x10q.htm"/>
        <w:bookmarkStart w:id="1" w:name="kspark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7d0bf96_d39d_444b_9288_2a0c056740bc"/>
      <w:bookmarkEnd w:id="2"/>
      <w:r>
        <w:rPr>
          <w:rFonts w:ascii="Times New Roman;Times;serif" w:hAnsi="Times New Roman;Times;serif"/>
          <w:b/>
          <w:sz w:val="20"/>
        </w:rPr>
        <w:t>UNITED STATES 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caps/>
          <w:sz w:val="28"/>
        </w:rPr>
      </w:pPr>
      <w:r>
        <w:rPr>
          <w:rFonts w:ascii="Times New Roman;Times;serif" w:hAnsi="Times New Roman;Times;serif"/>
          <w:b/>
          <w:caps/>
          <w:sz w:val="28"/>
        </w:rPr>
        <w:t>FORM 10-Q</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(Mark one)</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0"/>
              <w:jc w:val="both"/>
              <w:rPr/>
            </w:pPr>
            <w:r>
              <w:rPr/>
              <w:t>☒</w:t>
            </w:r>
          </w:p>
        </w:tc>
        <w:tc>
          <w:tcPr>
            <w:tcW w:w="76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Quarterly Report Pursuant to Section 13 or 15(d) of the Securities Exchange Act of 1934</w:t>
            </w:r>
            <w:r>
              <w:rPr>
                <w:rFonts w:ascii="Times New Roman;Times;serif" w:hAnsi="Times New Roman;Times;serif"/>
                <w:sz w:val="20"/>
              </w:rPr>
              <w:t xml:space="preserv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March 31,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0"/>
              <w:jc w:val="both"/>
              <w:rPr/>
            </w:pPr>
            <w:r>
              <w:rPr/>
              <w:t>☐</w:t>
            </w:r>
          </w:p>
        </w:tc>
        <w:tc>
          <w:tcPr>
            <w:tcW w:w="760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80"/>
        <w:ind w:left="0" w:right="0" w:hanging="360"/>
        <w:jc w:val="center"/>
        <w:rPr>
          <w:rFonts w:ascii="Times New Roman;Times;serif" w:hAnsi="Times New Roman;Times;serif"/>
          <w:sz w:val="18"/>
        </w:rPr>
      </w:pPr>
      <w:r>
        <w:rPr>
          <w:rFonts w:ascii="Times New Roman;Times;serif" w:hAnsi="Times New Roman;Times;serif"/>
          <w:sz w:val="18"/>
        </w:rPr>
        <w:t>For the transition period from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001-42967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olor w:val="231F20"/>
          <w:sz w:val="28"/>
        </w:rPr>
      </w:pPr>
      <w:r>
        <w:rPr>
          <w:rFonts w:ascii="Times New Roman;Times;serif" w:hAnsi="Times New Roman;Times;serif"/>
          <w:b/>
          <w:color w:val="231F20"/>
          <w:sz w:val="28"/>
        </w:rPr>
        <w:t>Park Dental Partners,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vJxa-qa0Emq6LI7eI9Ylw_4_0"/>
      <w:bookmarkStart w:id="4" w:name="Tc_kbVIEbaNHUS-o7AfsZ1OJw_2_1"/>
      <w:bookmarkStart w:id="5" w:name="Tc_B-gZW33hCE2zxvjaOaqPSA_2_0"/>
      <w:bookmarkStart w:id="6" w:name="Tc_dxOG7X37P0ukrLFu7cwOtQ_1_1"/>
      <w:bookmarkStart w:id="7" w:name="_771f3635_b379_4cba_b8ca_95cba609a07c"/>
      <w:bookmarkStart w:id="8" w:name="_001d99ef_5a61_4913_b57a_667e91bcb752"/>
      <w:bookmarkStart w:id="9" w:name="Tc_pvJxa-qa0Emq6LI7eI9Ylw_4_0"/>
      <w:bookmarkStart w:id="10" w:name="Tc_kbVIEbaNHUS-o7AfsZ1OJw_2_1"/>
      <w:bookmarkStart w:id="11" w:name="Tc_B-gZW33hCE2zxvjaOaqPSA_2_0"/>
      <w:bookmarkStart w:id="12" w:name="Tc_dxOG7X37P0ukrLFu7cwOtQ_1_1"/>
      <w:bookmarkStart w:id="13" w:name="_771f3635_b379_4cba_b8ca_95cba609a07c"/>
      <w:bookmarkStart w:id="14" w:name="_001d99ef_5a61_4913_b57a_667e91bcb752"/>
      <w:bookmarkEnd w:id="9"/>
      <w:bookmarkEnd w:id="10"/>
      <w:bookmarkEnd w:id="11"/>
      <w:bookmarkEnd w:id="12"/>
      <w:bookmarkEnd w:id="13"/>
      <w:bookmarkEnd w:id="14"/>
    </w:p>
    <w:tbl>
      <w:tblPr>
        <w:tblW w:w="5327" w:type="dxa"/>
        <w:jc w:val="left"/>
        <w:tblInd w:w="0" w:type="dxa"/>
        <w:tblLayout w:type="fixed"/>
        <w:tblCellMar>
          <w:top w:w="0" w:type="dxa"/>
          <w:left w:w="0" w:type="dxa"/>
          <w:bottom w:w="0" w:type="dxa"/>
          <w:right w:w="0" w:type="dxa"/>
        </w:tblCellMar>
      </w:tblPr>
      <w:tblGrid>
        <w:gridCol w:w="2566"/>
        <w:gridCol w:w="2761"/>
      </w:tblGrid>
      <w:tr>
        <w:trPr/>
        <w:tc>
          <w:tcPr>
            <w:tcW w:w="256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27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(651) 633-0500</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w:t>
            </w:r>
          </w:p>
        </w:tc>
        <w:tc>
          <w:tcPr>
            <w:tcW w:w="27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w:t>
            </w:r>
          </w:p>
        </w:tc>
      </w:tr>
      <w:tr>
        <w:trPr/>
        <w:tc>
          <w:tcPr>
            <w:tcW w:w="532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93-2020683</w:t>
            </w:r>
          </w:p>
        </w:tc>
      </w:tr>
      <w:tr>
        <w:trPr/>
        <w:tc>
          <w:tcPr>
            <w:tcW w:w="53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2200 County Road C West, Suite 2210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231F20"/>
          <w:sz w:val="20"/>
        </w:rPr>
        <w:t>Roseville, Minnesota</w:t>
      </w:r>
      <w:r>
        <w:rPr>
          <w:rFonts w:ascii="Times New Roman;Times;serif" w:hAnsi="Times New Roman;Times;serif"/>
          <w:color w:val="231F20"/>
          <w:sz w:val="20"/>
        </w:rPr>
        <w:t xml:space="preserve"> </w:t>
      </w:r>
      <w:r>
        <w:rPr>
          <w:rFonts w:ascii="Times New Roman;Times;serif" w:hAnsi="Times New Roman;Times;serif"/>
          <w:b/>
          <w:color w:val="231F20"/>
          <w:sz w:val="20"/>
        </w:rPr>
        <w:t>55113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zV6B4fQ7G0KNT2vRUHT2Vg_2_2"/>
      <w:bookmarkStart w:id="16" w:name="Tc_g6wKqQ6rnkKcXyOMkdwrhQ_1_2"/>
      <w:bookmarkStart w:id="17" w:name="Tc_kCdCQk8UO06Lz7TOzm9pcQ_1_1"/>
      <w:bookmarkStart w:id="18" w:name="Tc_86gCtJLVO0aXAmdLF_SOkg_1_0"/>
      <w:bookmarkStart w:id="19" w:name="_9aea4bf8_0af4_46ec_bcff_281768ce8ec0"/>
      <w:bookmarkStart w:id="20" w:name="Tc_zV6B4fQ7G0KNT2vRUHT2Vg_2_2"/>
      <w:bookmarkStart w:id="21" w:name="Tc_g6wKqQ6rnkKcXyOMkdwrhQ_1_2"/>
      <w:bookmarkStart w:id="22" w:name="Tc_kCdCQk8UO06Lz7TOzm9pcQ_1_1"/>
      <w:bookmarkStart w:id="23" w:name="Tc_86gCtJLVO0aXAmdLF_SOkg_1_0"/>
      <w:bookmarkStart w:id="24" w:name="_9aea4bf8_0af4_46ec_bcff_281768ce8ec0"/>
      <w:bookmarkEnd w:id="20"/>
      <w:bookmarkEnd w:id="21"/>
      <w:bookmarkEnd w:id="22"/>
      <w:bookmarkEnd w:id="23"/>
      <w:bookmarkEnd w:id="24"/>
    </w:p>
    <w:tbl>
      <w:tblPr>
        <w:tblW w:w="8463" w:type="dxa"/>
        <w:jc w:val="left"/>
        <w:tblInd w:w="0" w:type="dxa"/>
        <w:tblLayout w:type="fixed"/>
        <w:tblCellMar>
          <w:top w:w="0" w:type="dxa"/>
          <w:left w:w="0" w:type="dxa"/>
          <w:bottom w:w="0" w:type="dxa"/>
          <w:right w:w="0" w:type="dxa"/>
        </w:tblCellMar>
      </w:tblPr>
      <w:tblGrid>
        <w:gridCol w:w="2941"/>
        <w:gridCol w:w="1696"/>
        <w:gridCol w:w="3826"/>
      </w:tblGrid>
      <w:tr>
        <w:trPr/>
        <w:tc>
          <w:tcPr>
            <w:tcW w:w="2941"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9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$0.0001 par value</w:t>
            </w:r>
          </w:p>
        </w:tc>
        <w:tc>
          <w:tcPr>
            <w:tcW w:w="16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PARK</w:t>
            </w:r>
          </w:p>
        </w:tc>
        <w:tc>
          <w:tcPr>
            <w:tcW w:w="3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w:t>
      </w:r>
      <w:r>
        <w:rPr>
          <w:rFonts w:ascii="Times New Roman;Times;serif" w:hAnsi="Times New Roman;Times;serif"/>
          <w:caps w:val="false"/>
          <w:smallCaps w:val="false"/>
          <w:sz w:val="20"/>
        </w:rPr>
        <w:t> ☒</w:t>
      </w:r>
      <w:r>
        <w:rPr>
          <w:rFonts w:ascii="Times New Roman;Times;serif" w:hAnsi="Times New Roman;Times;serif"/>
          <w:sz w:val="20"/>
        </w:rPr>
        <w:t>No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w:t>
      </w:r>
      <w:r>
        <w:rPr>
          <w:rFonts w:ascii="Times New Roman;Times;serif" w:hAnsi="Times New Roman;Times;serif"/>
          <w:caps w:val="false"/>
          <w:smallCaps w:val="false"/>
          <w:sz w:val="20"/>
        </w:rPr>
        <w:t> ☒</w:t>
      </w:r>
      <w:r>
        <w:rPr>
          <w:rFonts w:ascii="Times New Roman;Times;serif" w:hAnsi="Times New Roman;Times;serif"/>
          <w:sz w:val="20"/>
        </w:rPr>
        <w:t>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iJysgPYwUEeLxxGaqlJqpw_3_2"/>
      <w:bookmarkStart w:id="26" w:name="Tc_cI6ut_bVYkeZwU03YgVVjQ_2_2"/>
      <w:bookmarkStart w:id="27" w:name="Tc_S3ElqugSD0W3YMSwJobvOQ_2_1"/>
      <w:bookmarkStart w:id="28" w:name="Tc_DNp0FRR1EUm199vZ0HKv3A_1_3"/>
      <w:bookmarkStart w:id="29" w:name="Tc_ZF_yecAKyE6LTQ8FLzfYwg_1_2"/>
      <w:bookmarkStart w:id="30" w:name="Tc_NnacfVMxFUeglP-OoDmgWw_1_1"/>
      <w:bookmarkStart w:id="31" w:name="Tc_DH_Y6SXLJke0L-Thq-_ZcQ_1_0"/>
      <w:bookmarkStart w:id="32" w:name="_919d2079_1682_4a42_90f2_62e46d4dd65a"/>
      <w:bookmarkStart w:id="33" w:name="Tc_iJysgPYwUEeLxxGaqlJqpw_3_2"/>
      <w:bookmarkStart w:id="34" w:name="Tc_cI6ut_bVYkeZwU03YgVVjQ_2_2"/>
      <w:bookmarkStart w:id="35" w:name="Tc_S3ElqugSD0W3YMSwJobvOQ_2_1"/>
      <w:bookmarkStart w:id="36" w:name="Tc_DNp0FRR1EUm199vZ0HKv3A_1_3"/>
      <w:bookmarkStart w:id="37" w:name="Tc_ZF_yecAKyE6LTQ8FLzfYwg_1_2"/>
      <w:bookmarkStart w:id="38" w:name="Tc_NnacfVMxFUeglP-OoDmgWw_1_1"/>
      <w:bookmarkStart w:id="39" w:name="Tc_DH_Y6SXLJke0L-Thq-_ZcQ_1_0"/>
      <w:bookmarkStart w:id="40" w:name="_919d2079_1682_4a42_90f2_62e46d4dd65a"/>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2237" w:type="dxa"/>
            <w:gridSpan w:val="2"/>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 </w:t>
      </w:r>
      <w:r>
        <w:rPr>
          <w:rFonts w:ascii="Times New Roman;Times;serif" w:hAnsi="Times New Roman;Times;serif"/>
          <w:caps w:val="false"/>
          <w:smallCaps w:val="false"/>
          <w:sz w:val="20"/>
        </w:rPr>
        <w:t>☐</w:t>
      </w:r>
      <w:r>
        <w:rPr>
          <w:rFonts w:ascii="Times New Roman;Times;serif" w:hAnsi="Times New Roman;Times;serif"/>
          <w:sz w:val="20"/>
        </w:rPr>
        <w:t>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 w:name="Tc_ABofM6lcX0CVWsFDz1MBRQ_2_0"/>
      <w:bookmarkStart w:id="42" w:name="Tc_F1cXDJJaGk-PNYo8C5wIig_1_1"/>
      <w:bookmarkStart w:id="43" w:name="Tc_c_B3eFJWKkiVpdLCB5rrcw_1_0"/>
      <w:bookmarkStart w:id="44" w:name="_f12766aa_b39a_43d2_852d_b644313b3767"/>
      <w:bookmarkStart w:id="45" w:name="Tc_ABofM6lcX0CVWsFDz1MBRQ_2_0"/>
      <w:bookmarkStart w:id="46" w:name="Tc_F1cXDJJaGk-PNYo8C5wIig_1_1"/>
      <w:bookmarkStart w:id="47" w:name="Tc_c_B3eFJWKkiVpdLCB5rrcw_1_0"/>
      <w:bookmarkStart w:id="48" w:name="_f12766aa_b39a_43d2_852d_b644313b3767"/>
      <w:bookmarkEnd w:id="45"/>
      <w:bookmarkEnd w:id="46"/>
      <w:bookmarkEnd w:id="47"/>
      <w:bookmarkEnd w:id="48"/>
    </w:p>
    <w:tbl>
      <w:tblPr>
        <w:tblW w:w="7082" w:type="dxa"/>
        <w:jc w:val="left"/>
        <w:tblInd w:w="0" w:type="dxa"/>
        <w:tblLayout w:type="fixed"/>
        <w:tblCellMar>
          <w:top w:w="0" w:type="dxa"/>
          <w:left w:w="0" w:type="dxa"/>
          <w:bottom w:w="0" w:type="dxa"/>
          <w:right w:w="0" w:type="dxa"/>
        </w:tblCellMar>
      </w:tblPr>
      <w:tblGrid>
        <w:gridCol w:w="3076"/>
        <w:gridCol w:w="4006"/>
      </w:tblGrid>
      <w:tr>
        <w:trPr/>
        <w:tc>
          <w:tcPr>
            <w:tcW w:w="307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par value of $0.0001 per share</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 Shares at May 14, 2026</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4,515,054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pBdr>
          <w:top w:val="single" w:sz="2" w:space="1" w:color="000000"/>
          <w:bottom w:val="single" w:sz="24" w:space="1" w:color="000000"/>
        </w:pBdr>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_85ee1fd2_af7d_4354_a4d3_dd8e9261db80"/>
      <w:bookmarkEnd w:id="49"/>
      <w:r>
        <w:rPr>
          <w:rFonts w:ascii="Times New Roman;Times;serif" w:hAnsi="Times New Roman;Times;serif"/>
          <w:b/>
          <w:sz w:val="20"/>
        </w:rPr>
        <w:t>PARK DENTAL PARTNERS, INC. AND SUBSIDIARIES</w:t>
      </w:r>
    </w:p>
    <w:p>
      <w:pPr>
        <w:pStyle w:val="TextBody"/>
        <w:bidi w:val="0"/>
        <w:spacing w:before="0" w:after="240"/>
        <w:ind w:left="0" w:right="0" w:hanging="0"/>
        <w:jc w:val="center"/>
        <w:rPr>
          <w:rFonts w:ascii="Times New Roman;Times;serif" w:hAnsi="Times New Roman;Times;serif"/>
          <w:b/>
          <w:sz w:val="20"/>
        </w:rPr>
      </w:pPr>
      <w:bookmarkStart w:id="50" w:name="TOC"/>
      <w:bookmarkEnd w:id="50"/>
      <w:r>
        <w:rPr>
          <w:rFonts w:ascii="Times New Roman;Times;serif" w:hAnsi="Times New Roman;Times;serif"/>
          <w:b/>
          <w:sz w:val="20"/>
        </w:rPr>
        <w:t>TABLE OF CONTENTS</w:t>
      </w:r>
    </w:p>
    <w:tbl>
      <w:tblPr>
        <w:tblW w:w="8808" w:type="dxa"/>
        <w:jc w:val="left"/>
        <w:tblInd w:w="0" w:type="dxa"/>
        <w:tblLayout w:type="fixed"/>
        <w:tblCellMar>
          <w:top w:w="0" w:type="dxa"/>
          <w:left w:w="0" w:type="dxa"/>
          <w:bottom w:w="0" w:type="dxa"/>
          <w:right w:w="0" w:type="dxa"/>
        </w:tblCellMar>
      </w:tblPr>
      <w:tblGrid>
        <w:gridCol w:w="856"/>
        <w:gridCol w:w="7411"/>
        <w:gridCol w:w="541"/>
      </w:tblGrid>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267" w:type="dxa"/>
            <w:gridSpan w:val="2"/>
            <w:tcBorders/>
            <w:vAlign w:val="center"/>
          </w:tcPr>
          <w:p>
            <w:pPr>
              <w:pStyle w:val="TableContents"/>
              <w:bidi w:val="0"/>
              <w:spacing w:before="0" w:after="0"/>
              <w:ind w:left="0" w:right="0" w:hanging="0"/>
              <w:jc w:val="left"/>
              <w:rPr/>
            </w:pPr>
            <w:hyperlink w:anchor="_PART_I_--">
              <w:r>
                <w:rPr>
                  <w:rStyle w:val="InternetLink"/>
                  <w:rFonts w:ascii="Times New Roman;Times;serif" w:hAnsi="Times New Roman;Times;serif"/>
                  <w:b w:val="false"/>
                  <w:i w:val="false"/>
                  <w:caps w:val="false"/>
                  <w:smallCaps w:val="false"/>
                  <w:sz w:val="20"/>
                </w:rPr>
                <w:t>PART I -- FINANCIAL INFORMATION</w:t>
              </w:r>
            </w:hyperlink>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FinancialStatements_881939">
              <w:r>
                <w:rPr>
                  <w:rStyle w:val="InternetLink"/>
                  <w:rFonts w:ascii="Times New Roman;Times;serif" w:hAnsi="Times New Roman;Times;serif"/>
                  <w:b w:val="false"/>
                  <w:i w:val="false"/>
                  <w:caps w:val="false"/>
                  <w:smallCaps w:val="false"/>
                  <w:sz w:val="20"/>
                </w:rPr>
                <w:t>Item 1.</w:t>
              </w:r>
            </w:hyperlink>
          </w:p>
        </w:tc>
        <w:tc>
          <w:tcPr>
            <w:tcW w:w="7411" w:type="dxa"/>
            <w:tcBorders/>
            <w:vAlign w:val="center"/>
          </w:tcPr>
          <w:p>
            <w:pPr>
              <w:pStyle w:val="TableContents"/>
              <w:bidi w:val="0"/>
              <w:spacing w:before="0" w:after="0"/>
              <w:ind w:left="0" w:right="0" w:hanging="0"/>
              <w:jc w:val="left"/>
              <w:rPr/>
            </w:pPr>
            <w:hyperlink w:anchor="Item1FinancialStatements_881939">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BALANCESHEETS_91521">
              <w:r>
                <w:rPr>
                  <w:rStyle w:val="InternetLink"/>
                  <w:rFonts w:ascii="Times New Roman;Times;serif" w:hAnsi="Times New Roman;Times;serif"/>
                  <w:b w:val="false"/>
                  <w:i w:val="false"/>
                  <w:caps w:val="false"/>
                  <w:smallCaps w:val="false"/>
                  <w:sz w:val="20"/>
                </w:rPr>
                <w:t>Condensed Consolidated Balance Sheets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INCOMESTATEMENTS">
              <w:r>
                <w:rPr>
                  <w:rStyle w:val="InternetLink"/>
                  <w:rFonts w:ascii="Times New Roman;Times;serif" w:hAnsi="Times New Roman;Times;serif"/>
                  <w:b w:val="false"/>
                  <w:i w:val="false"/>
                  <w:caps w:val="false"/>
                  <w:smallCaps w:val="false"/>
                  <w:sz w:val="20"/>
                </w:rPr>
                <w:t>Condensed Consolidated Statements of Operations</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STATEMENTSOFEQUITYD">
              <w:r>
                <w:rPr>
                  <w:rStyle w:val="InternetLink"/>
                  <w:rFonts w:ascii="Times New Roman;Times;serif" w:hAnsi="Times New Roman;Times;serif"/>
                  <w:b w:val="false"/>
                  <w:i w:val="false"/>
                  <w:caps w:val="false"/>
                  <w:smallCaps w:val="false"/>
                  <w:sz w:val="20"/>
                </w:rPr>
                <w:t>Condensed Consolidated Statements of Shareholders' Equity (Deficit)</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4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 xml:space="preserve">Management’s Discussion and Analysis of Financial Condition and Results of Operations </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4ControlsandProcedures_951758">
              <w:r>
                <w:rPr>
                  <w:rStyle w:val="InternetLink"/>
                  <w:rFonts w:ascii="Times New Roman;Times;serif" w:hAnsi="Times New Roman;Times;serif"/>
                  <w:b w:val="false"/>
                  <w:i w:val="false"/>
                  <w:caps w:val="false"/>
                  <w:smallCaps w:val="false"/>
                  <w:sz w:val="20"/>
                </w:rPr>
                <w:t>Item 4.</w:t>
              </w:r>
            </w:hyperlink>
          </w:p>
        </w:tc>
        <w:tc>
          <w:tcPr>
            <w:tcW w:w="7411" w:type="dxa"/>
            <w:tcBorders/>
            <w:vAlign w:val="center"/>
          </w:tcPr>
          <w:p>
            <w:pPr>
              <w:pStyle w:val="TableContents"/>
              <w:bidi w:val="0"/>
              <w:spacing w:before="0" w:after="0"/>
              <w:ind w:left="0" w:right="0" w:hanging="0"/>
              <w:jc w:val="left"/>
              <w:rPr/>
            </w:pPr>
            <w:hyperlink w:anchor="Item4ControlsandProcedures_951758">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26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pPr>
            <w:hyperlink w:anchor="PARTIIOTHERINFORMATION_996238">
              <w:r>
                <w:rPr>
                  <w:rStyle w:val="InternetLink"/>
                  <w:rFonts w:ascii="Times New Roman;Times;serif" w:hAnsi="Times New Roman;Times;serif"/>
                  <w:b w:val="false"/>
                  <w:i w:val="false"/>
                  <w:caps w:val="false"/>
                  <w:smallCaps w:val="false"/>
                  <w:sz w:val="20"/>
                </w:rPr>
                <w:t>PART II -- OTHER INFORMATION</w:t>
              </w:r>
            </w:hyperlink>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LegalProceedings_301166">
              <w:r>
                <w:rPr>
                  <w:rStyle w:val="InternetLink"/>
                  <w:rFonts w:ascii="Times New Roman;Times;serif" w:hAnsi="Times New Roman;Times;serif"/>
                  <w:b w:val="false"/>
                  <w:i w:val="false"/>
                  <w:caps w:val="false"/>
                  <w:smallCaps w:val="false"/>
                  <w:sz w:val="20"/>
                </w:rPr>
                <w:t>Item 1.</w:t>
              </w:r>
            </w:hyperlink>
          </w:p>
        </w:tc>
        <w:tc>
          <w:tcPr>
            <w:tcW w:w="7411" w:type="dxa"/>
            <w:tcBorders/>
            <w:vAlign w:val="center"/>
          </w:tcPr>
          <w:p>
            <w:pPr>
              <w:pStyle w:val="TableContents"/>
              <w:bidi w:val="0"/>
              <w:spacing w:before="0" w:after="0"/>
              <w:ind w:left="0" w:right="0" w:hanging="0"/>
              <w:jc w:val="left"/>
              <w:rPr/>
            </w:pPr>
            <w:hyperlink w:anchor="Item1LegalProceedings_301166">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ARiskFactors_592728">
              <w:r>
                <w:rPr>
                  <w:rStyle w:val="InternetLink"/>
                  <w:rFonts w:ascii="Times New Roman;Times;serif" w:hAnsi="Times New Roman;Times;serif"/>
                  <w:b w:val="false"/>
                  <w:i w:val="false"/>
                  <w:caps w:val="false"/>
                  <w:smallCaps w:val="false"/>
                  <w:sz w:val="20"/>
                </w:rPr>
                <w:t xml:space="preserve">Item 1A. </w:t>
              </w:r>
            </w:hyperlink>
          </w:p>
        </w:tc>
        <w:tc>
          <w:tcPr>
            <w:tcW w:w="7411" w:type="dxa"/>
            <w:tcBorders/>
            <w:vAlign w:val="center"/>
          </w:tcPr>
          <w:p>
            <w:pPr>
              <w:pStyle w:val="TableContents"/>
              <w:bidi w:val="0"/>
              <w:spacing w:before="0" w:after="0"/>
              <w:ind w:left="0" w:right="0" w:hanging="0"/>
              <w:jc w:val="left"/>
              <w:rPr/>
            </w:pPr>
            <w:hyperlink w:anchor="Item1ARiskFactors_592728">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4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4MineSafetyDisclosures_963621">
              <w:r>
                <w:rPr>
                  <w:rStyle w:val="InternetLink"/>
                  <w:rFonts w:ascii="Times New Roman;Times;serif" w:hAnsi="Times New Roman;Times;serif"/>
                  <w:b w:val="false"/>
                  <w:i w:val="false"/>
                  <w:caps w:val="false"/>
                  <w:smallCaps w:val="false"/>
                  <w:sz w:val="20"/>
                </w:rPr>
                <w:t>Item 4.</w:t>
              </w:r>
            </w:hyperlink>
          </w:p>
        </w:tc>
        <w:tc>
          <w:tcPr>
            <w:tcW w:w="7411" w:type="dxa"/>
            <w:tcBorders/>
            <w:vAlign w:val="center"/>
          </w:tcPr>
          <w:p>
            <w:pPr>
              <w:pStyle w:val="TableContents"/>
              <w:bidi w:val="0"/>
              <w:spacing w:before="0" w:after="0"/>
              <w:ind w:left="0" w:right="0" w:hanging="0"/>
              <w:jc w:val="left"/>
              <w:rPr/>
            </w:pPr>
            <w:hyperlink w:anchor="Item4MineSafetyDisclosures_963621">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5Otherinformation_405304">
              <w:r>
                <w:rPr>
                  <w:rStyle w:val="InternetLink"/>
                  <w:rFonts w:ascii="Times New Roman;Times;serif" w:hAnsi="Times New Roman;Times;serif"/>
                  <w:b w:val="false"/>
                  <w:i w:val="false"/>
                  <w:caps w:val="false"/>
                  <w:smallCaps w:val="false"/>
                  <w:sz w:val="20"/>
                </w:rPr>
                <w:t>Item 5.</w:t>
              </w:r>
            </w:hyperlink>
          </w:p>
        </w:tc>
        <w:tc>
          <w:tcPr>
            <w:tcW w:w="7411" w:type="dxa"/>
            <w:tcBorders/>
            <w:vAlign w:val="center"/>
          </w:tcPr>
          <w:p>
            <w:pPr>
              <w:pStyle w:val="TableContents"/>
              <w:bidi w:val="0"/>
              <w:spacing w:before="0" w:after="0"/>
              <w:ind w:left="0" w:right="0" w:hanging="0"/>
              <w:jc w:val="left"/>
              <w:rPr/>
            </w:pPr>
            <w:hyperlink w:anchor="Item5Otherinformation_405304">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6Exhibits_388558">
              <w:r>
                <w:rPr>
                  <w:rStyle w:val="InternetLink"/>
                  <w:rFonts w:ascii="Times New Roman;Times;serif" w:hAnsi="Times New Roman;Times;serif"/>
                  <w:b w:val="false"/>
                  <w:i w:val="false"/>
                  <w:caps w:val="false"/>
                  <w:smallCaps w:val="false"/>
                  <w:sz w:val="20"/>
                </w:rPr>
                <w:t>Item 6.</w:t>
              </w:r>
            </w:hyperlink>
          </w:p>
        </w:tc>
        <w:tc>
          <w:tcPr>
            <w:tcW w:w="7411" w:type="dxa"/>
            <w:tcBorders/>
            <w:vAlign w:val="center"/>
          </w:tcPr>
          <w:p>
            <w:pPr>
              <w:pStyle w:val="TableContents"/>
              <w:bidi w:val="0"/>
              <w:spacing w:before="0" w:after="0"/>
              <w:ind w:left="0" w:right="0" w:hanging="0"/>
              <w:jc w:val="left"/>
              <w:rPr/>
            </w:pPr>
            <w:hyperlink w:anchor="Item6Exhibits_38855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1" w:name="_302d4573_3253_4a59_8688_83ee136d0a78"/>
      <w:bookmarkEnd w:id="51"/>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52" w:name="Item1FinancialStatements_881939"/>
      <w:bookmarkEnd w:id="52"/>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53" w:name="CONDENSEDCONSOLIDATEDBALANCESHEETS_91521"/>
      <w:bookmarkEnd w:id="53"/>
      <w:r>
        <w:rPr>
          <w:rFonts w:ascii="Times New Roman;Times;serif" w:hAnsi="Times New Roman;Times;serif"/>
          <w:b/>
          <w:sz w:val="20"/>
        </w:rPr>
        <w:t>CONDENSED CONSOLIDATED BALANCE SHEETS (unaudited)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54" w:name="Tc_-G5POh2-S0WDMlA1aZgpAg_43_4"/>
      <w:bookmarkStart w:id="55" w:name="Tc_UpmzFB_u0k6c7hBSpxnnIw_43_1"/>
      <w:bookmarkStart w:id="56" w:name="Tc_zwTCBQy-TUCe4wBFimy5Ow_43_0"/>
      <w:bookmarkStart w:id="57" w:name="Tc_aLusQp7qT0eAnsuMf3OtMw_42_0"/>
      <w:bookmarkStart w:id="58" w:name="Tc_94nDe1yCzkaVYSmeIr8u4A_41_0"/>
      <w:bookmarkStart w:id="59" w:name="Tc_H7JsbMhQy0GF_PuKkZgzDA_40_0"/>
      <w:bookmarkStart w:id="60" w:name="Tc_1UCGb8CZxUuMr5_7QDomPg_39_0"/>
      <w:bookmarkStart w:id="61" w:name="Tc_Eodiq1S-CEGQANwFcBhXxA_38_4"/>
      <w:bookmarkStart w:id="62" w:name="Tc_Ln-zu_PsEEqYNJ8_HqxWWA_38_1"/>
      <w:bookmarkStart w:id="63" w:name="Tc_4qPktgzp7EC94b1b5D5KSg_38_0"/>
      <w:bookmarkStart w:id="64" w:name="Tc_8fQ1oY49vkuMUKpRxz90Xw_37_0"/>
      <w:bookmarkStart w:id="65" w:name="Tc_AxBqVRJptEWHxo-NXV5VnA_36_0"/>
      <w:bookmarkStart w:id="66" w:name="Tc_jlztDkSLykSdiFxWDijOMQ_35_4"/>
      <w:bookmarkStart w:id="67" w:name="Tc_LgGvOm0cfUiJugh77IUrZg_35_1"/>
      <w:bookmarkStart w:id="68" w:name="Tc_b9cHUEsyDkSZWUs9fFuSaQ_35_0"/>
      <w:bookmarkStart w:id="69" w:name="Tc_bpAweaIYYU2YDKDwXioaBQ_34_0"/>
      <w:bookmarkStart w:id="70" w:name="Tc_H6qfDYJSKkaZM-5lN52dpA_33_0"/>
      <w:bookmarkStart w:id="71" w:name="Tc_lMl7WAZSGk2SUdxiq0ByPQ_32_0"/>
      <w:bookmarkStart w:id="72" w:name="Tc_eHyliA63Rk6XiRf_zfg0Fg_31_0"/>
      <w:bookmarkStart w:id="73" w:name="Tc_oeBDS9J_CU-pfEITV5WlEQ_30_0"/>
      <w:bookmarkStart w:id="74" w:name="Tc_w-hVMc7spkGODX8EW6IuMw_29_0"/>
      <w:bookmarkStart w:id="75" w:name="Tc_hA5P-ugjc0KYBstD1Fd-WA_28_0"/>
      <w:bookmarkStart w:id="76" w:name="Tc_eZniWDThyUmkoCkAhYz_IQ_27_0"/>
      <w:bookmarkStart w:id="77" w:name="Tc_THodt8tKOUO0HYX9F2ZUrw_26_0"/>
      <w:bookmarkStart w:id="78" w:name="Tc_M8_J3cPh0UeG75i9cBuahw_25_0"/>
      <w:bookmarkStart w:id="79" w:name="Tc_gjmJptNuY06GTe_fubR_fw_24_0"/>
      <w:bookmarkStart w:id="80" w:name="Tc_avTtwJFnZUSDvZ8Trt5IPg_23_0"/>
      <w:bookmarkStart w:id="81" w:name="Tc_5woNA-UYVEm78gCkpUxqDg_22_4"/>
      <w:bookmarkStart w:id="82" w:name="Tc_O7cXypIpXkiTqk3icLYnfw_22_1"/>
      <w:bookmarkStart w:id="83" w:name="Tc_9nNLfnKfy0W81o8si8JVLw_22_0"/>
      <w:bookmarkStart w:id="84" w:name="Tc_bBK7c8GDk0WPxBF40C4g_A_21_0"/>
      <w:bookmarkStart w:id="85" w:name="Tc_4crG2YxJiEGABFZHzPe2zw_20_0"/>
      <w:bookmarkStart w:id="86" w:name="Tc_5Ld3kAeUsE-AnAXpIUU9qQ_19_4"/>
      <w:bookmarkStart w:id="87" w:name="Tc_3aeuHAc7lk2Guei45KHolw_19_1"/>
      <w:bookmarkStart w:id="88" w:name="Tc_azAJAZ_0Hk6C-HM_HjBc0A_19_0"/>
      <w:bookmarkStart w:id="89" w:name="Tc_cg_8K2lXdE-C02SAHdMVEg_18_0"/>
      <w:bookmarkStart w:id="90" w:name="Tc_HRRz4lx-ykSsd5anpJrjRg_17_0"/>
      <w:bookmarkStart w:id="91" w:name="Tc_dWcz7BRbXU6R8SbPlhZCMA_16_0"/>
      <w:bookmarkStart w:id="92" w:name="Tc_aqUgo-eWokmVDdalzMovuw_15_0"/>
      <w:bookmarkStart w:id="93" w:name="Tc_4WHZ088VbEG96r7HwKtejw_14_0"/>
      <w:bookmarkStart w:id="94" w:name="Tc_aEo1GUxOvEavBiFFcR5caw_13_0"/>
      <w:bookmarkStart w:id="95" w:name="Tc_SSfMUdaUAU27qRE-MLIlLA_12_0"/>
      <w:bookmarkStart w:id="96" w:name="Tc_B7Xfz2EwPE2kIdOqbYQJHA_11_0"/>
      <w:bookmarkStart w:id="97" w:name="Tc_MrrHZ6a0M0qCkfUjsixgMQ_10_0"/>
      <w:bookmarkStart w:id="98" w:name="Tc_GM6Tz-DTSEKcz9KG6bw4lA_9_0"/>
      <w:bookmarkStart w:id="99" w:name="Tc_q4j9zGoCJ0eXQFJJzbtafQ_8_0"/>
      <w:bookmarkStart w:id="100" w:name="Tc_lrwALRN51k-iQ2E-OFhvQg_7_0"/>
      <w:bookmarkStart w:id="101" w:name="Tc_too6vSLFd0604d1y_QCRIg_6_0"/>
      <w:bookmarkStart w:id="102" w:name="Tc_9h2RqcIFSk2YMM_KVV9Seg_5_4"/>
      <w:bookmarkStart w:id="103" w:name="Tc_Ydi-Kd90J0SQzyKC3mHSLw_5_1"/>
      <w:bookmarkStart w:id="104" w:name="Tc_1WFLVzgXfUSPXlHy_7kXqw_5_0"/>
      <w:bookmarkStart w:id="105" w:name="Tc_aupPnukjpEeUD1mt6mzGnw_4_0"/>
      <w:bookmarkStart w:id="106" w:name="Tc_zOlKESPlpk-_q3geTLx2EQ_3_0"/>
      <w:bookmarkStart w:id="107" w:name="Tc_Q859dScBjkyQUD0wyCry0g_2_4"/>
      <w:bookmarkStart w:id="108" w:name="Tc_-7cKf-ebj0WNy5_TaFlV1Q_2_1"/>
      <w:bookmarkStart w:id="109" w:name="Tc_Ram763P5cEKsOqtl3vMsTg_1_4"/>
      <w:bookmarkStart w:id="110" w:name="Tc_UdcNA65Lsk25WyEJz6odUw_1_1"/>
      <w:bookmarkStart w:id="111" w:name="_26b96475_4198_4e5d_998b_d3dbf9d97ad1"/>
      <w:bookmarkStart w:id="112" w:name="Tc_-G5POh2-S0WDMlA1aZgpAg_43_4"/>
      <w:bookmarkStart w:id="113" w:name="Tc_UpmzFB_u0k6c7hBSpxnnIw_43_1"/>
      <w:bookmarkStart w:id="114" w:name="Tc_zwTCBQy-TUCe4wBFimy5Ow_43_0"/>
      <w:bookmarkStart w:id="115" w:name="Tc_aLusQp7qT0eAnsuMf3OtMw_42_0"/>
      <w:bookmarkStart w:id="116" w:name="Tc_94nDe1yCzkaVYSmeIr8u4A_41_0"/>
      <w:bookmarkStart w:id="117" w:name="Tc_H7JsbMhQy0GF_PuKkZgzDA_40_0"/>
      <w:bookmarkStart w:id="118" w:name="Tc_1UCGb8CZxUuMr5_7QDomPg_39_0"/>
      <w:bookmarkStart w:id="119" w:name="Tc_Eodiq1S-CEGQANwFcBhXxA_38_4"/>
      <w:bookmarkStart w:id="120" w:name="Tc_Ln-zu_PsEEqYNJ8_HqxWWA_38_1"/>
      <w:bookmarkStart w:id="121" w:name="Tc_4qPktgzp7EC94b1b5D5KSg_38_0"/>
      <w:bookmarkStart w:id="122" w:name="Tc_8fQ1oY49vkuMUKpRxz90Xw_37_0"/>
      <w:bookmarkStart w:id="123" w:name="Tc_AxBqVRJptEWHxo-NXV5VnA_36_0"/>
      <w:bookmarkStart w:id="124" w:name="Tc_jlztDkSLykSdiFxWDijOMQ_35_4"/>
      <w:bookmarkStart w:id="125" w:name="Tc_LgGvOm0cfUiJugh77IUrZg_35_1"/>
      <w:bookmarkStart w:id="126" w:name="Tc_b9cHUEsyDkSZWUs9fFuSaQ_35_0"/>
      <w:bookmarkStart w:id="127" w:name="Tc_bpAweaIYYU2YDKDwXioaBQ_34_0"/>
      <w:bookmarkStart w:id="128" w:name="Tc_H6qfDYJSKkaZM-5lN52dpA_33_0"/>
      <w:bookmarkStart w:id="129" w:name="Tc_lMl7WAZSGk2SUdxiq0ByPQ_32_0"/>
      <w:bookmarkStart w:id="130" w:name="Tc_eHyliA63Rk6XiRf_zfg0Fg_31_0"/>
      <w:bookmarkStart w:id="131" w:name="Tc_oeBDS9J_CU-pfEITV5WlEQ_30_0"/>
      <w:bookmarkStart w:id="132" w:name="Tc_w-hVMc7spkGODX8EW6IuMw_29_0"/>
      <w:bookmarkStart w:id="133" w:name="Tc_hA5P-ugjc0KYBstD1Fd-WA_28_0"/>
      <w:bookmarkStart w:id="134" w:name="Tc_eZniWDThyUmkoCkAhYz_IQ_27_0"/>
      <w:bookmarkStart w:id="135" w:name="Tc_THodt8tKOUO0HYX9F2ZUrw_26_0"/>
      <w:bookmarkStart w:id="136" w:name="Tc_M8_J3cPh0UeG75i9cBuahw_25_0"/>
      <w:bookmarkStart w:id="137" w:name="Tc_gjmJptNuY06GTe_fubR_fw_24_0"/>
      <w:bookmarkStart w:id="138" w:name="Tc_avTtwJFnZUSDvZ8Trt5IPg_23_0"/>
      <w:bookmarkStart w:id="139" w:name="Tc_5woNA-UYVEm78gCkpUxqDg_22_4"/>
      <w:bookmarkStart w:id="140" w:name="Tc_O7cXypIpXkiTqk3icLYnfw_22_1"/>
      <w:bookmarkStart w:id="141" w:name="Tc_9nNLfnKfy0W81o8si8JVLw_22_0"/>
      <w:bookmarkStart w:id="142" w:name="Tc_bBK7c8GDk0WPxBF40C4g_A_21_0"/>
      <w:bookmarkStart w:id="143" w:name="Tc_4crG2YxJiEGABFZHzPe2zw_20_0"/>
      <w:bookmarkStart w:id="144" w:name="Tc_5Ld3kAeUsE-AnAXpIUU9qQ_19_4"/>
      <w:bookmarkStart w:id="145" w:name="Tc_3aeuHAc7lk2Guei45KHolw_19_1"/>
      <w:bookmarkStart w:id="146" w:name="Tc_azAJAZ_0Hk6C-HM_HjBc0A_19_0"/>
      <w:bookmarkStart w:id="147" w:name="Tc_cg_8K2lXdE-C02SAHdMVEg_18_0"/>
      <w:bookmarkStart w:id="148" w:name="Tc_HRRz4lx-ykSsd5anpJrjRg_17_0"/>
      <w:bookmarkStart w:id="149" w:name="Tc_dWcz7BRbXU6R8SbPlhZCMA_16_0"/>
      <w:bookmarkStart w:id="150" w:name="Tc_aqUgo-eWokmVDdalzMovuw_15_0"/>
      <w:bookmarkStart w:id="151" w:name="Tc_4WHZ088VbEG96r7HwKtejw_14_0"/>
      <w:bookmarkStart w:id="152" w:name="Tc_aEo1GUxOvEavBiFFcR5caw_13_0"/>
      <w:bookmarkStart w:id="153" w:name="Tc_SSfMUdaUAU27qRE-MLIlLA_12_0"/>
      <w:bookmarkStart w:id="154" w:name="Tc_B7Xfz2EwPE2kIdOqbYQJHA_11_0"/>
      <w:bookmarkStart w:id="155" w:name="Tc_MrrHZ6a0M0qCkfUjsixgMQ_10_0"/>
      <w:bookmarkStart w:id="156" w:name="Tc_GM6Tz-DTSEKcz9KG6bw4lA_9_0"/>
      <w:bookmarkStart w:id="157" w:name="Tc_q4j9zGoCJ0eXQFJJzbtafQ_8_0"/>
      <w:bookmarkStart w:id="158" w:name="Tc_lrwALRN51k-iQ2E-OFhvQg_7_0"/>
      <w:bookmarkStart w:id="159" w:name="Tc_too6vSLFd0604d1y_QCRIg_6_0"/>
      <w:bookmarkStart w:id="160" w:name="Tc_9h2RqcIFSk2YMM_KVV9Seg_5_4"/>
      <w:bookmarkStart w:id="161" w:name="Tc_Ydi-Kd90J0SQzyKC3mHSLw_5_1"/>
      <w:bookmarkStart w:id="162" w:name="Tc_1WFLVzgXfUSPXlHy_7kXqw_5_0"/>
      <w:bookmarkStart w:id="163" w:name="Tc_aupPnukjpEeUD1mt6mzGnw_4_0"/>
      <w:bookmarkStart w:id="164" w:name="Tc_zOlKESPlpk-_q3geTLx2EQ_3_0"/>
      <w:bookmarkStart w:id="165" w:name="Tc_Q859dScBjkyQUD0wyCry0g_2_4"/>
      <w:bookmarkStart w:id="166" w:name="Tc_-7cKf-ebj0WNy5_TaFlV1Q_2_1"/>
      <w:bookmarkStart w:id="167" w:name="Tc_Ram763P5cEKsOqtl3vMsTg_1_4"/>
      <w:bookmarkStart w:id="168" w:name="Tc_UdcNA65Lsk25WyEJz6odUw_1_1"/>
      <w:bookmarkStart w:id="169" w:name="_26b96475_4198_4e5d_998b_d3dbf9d97ad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W w:w="10205" w:type="dxa"/>
        <w:jc w:val="left"/>
        <w:tblInd w:w="0" w:type="dxa"/>
        <w:tblLayout w:type="fixed"/>
        <w:tblCellMar>
          <w:top w:w="0" w:type="dxa"/>
          <w:left w:w="0" w:type="dxa"/>
          <w:bottom w:w="0" w:type="dxa"/>
          <w:right w:w="0" w:type="dxa"/>
        </w:tblCellMar>
      </w:tblPr>
      <w:tblGrid>
        <w:gridCol w:w="7410"/>
        <w:gridCol w:w="237"/>
        <w:gridCol w:w="843"/>
        <w:gridCol w:w="346"/>
        <w:gridCol w:w="269"/>
        <w:gridCol w:w="1100"/>
      </w:tblGrid>
      <w:tr>
        <w:trPr/>
        <w:tc>
          <w:tcPr>
            <w:tcW w:w="7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05350" cy="175260"/>
                      <wp:effectExtent l="0" t="0" r="0" b="0"/>
                      <wp:wrapNone/>
                      <wp:docPr id="1" name="Frame1"/>
                      <a:graphic xmlns:a="http://schemas.openxmlformats.org/drawingml/2006/main">
                        <a:graphicData uri="http://schemas.microsoft.com/office/word/2010/wordprocessingShape">
                          <wps:wsp>
                            <wps:cNvSpPr txBox="1"/>
                            <wps:spPr>
                              <a:xfrm>
                                <a:off x="0" y="0"/>
                                <a:ext cx="470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0495" cy="175260"/>
                      <wp:effectExtent l="0" t="0" r="0" b="0"/>
                      <wp:wrapNone/>
                      <wp:docPr id="2" name="Frame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35305" cy="175260"/>
                      <wp:effectExtent l="0" t="0" r="0" b="0"/>
                      <wp:wrapNone/>
                      <wp:docPr id="3" name="Frame3"/>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0815" cy="175260"/>
                      <wp:effectExtent l="0" t="0" r="0" b="0"/>
                      <wp:wrapNone/>
                      <wp:docPr id="5" name="Frame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8500" cy="175260"/>
                      <wp:effectExtent l="0" t="0" r="0" b="0"/>
                      <wp:wrapNone/>
                      <wp:docPr id="6" name="Frame6"/>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0"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w:t>
            </w:r>
          </w:p>
        </w:tc>
        <w:tc>
          <w:tcPr>
            <w:tcW w:w="346" w:type="dxa"/>
            <w:tcBorders/>
            <w:vAlign w:val="center"/>
          </w:tcPr>
          <w:p>
            <w:pPr>
              <w:pStyle w:val="TableContents"/>
              <w:bidi w:val="0"/>
              <w:spacing w:before="0" w:after="0"/>
              <w:ind w:left="0" w:right="0" w:hanging="0"/>
              <w:jc w:val="center"/>
              <w:rPr/>
            </w:pPr>
            <w:r>
              <w:rPr/>
              <w:t>  ​ ​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7410"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237"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237"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24,372</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 net of allowance</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6,819</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6,991</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Dental supplies</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2,752</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37,722</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37,902</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 net</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29,527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29,286</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surrender value of life insurance</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19,244</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 net</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11,182</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17,178</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19,319</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18,849</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right of use asset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44,418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44,542</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142,135</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140,281</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179,857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178,183</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 (DEFICIT)</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accrued liabilities</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6,682</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6,291</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benefits and short term deferred compensation</w:t>
            </w:r>
          </w:p>
        </w:tc>
        <w:tc>
          <w:tcPr>
            <w:tcW w:w="237"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16,802</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16,716</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debt</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lease liability</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6,835</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6,711</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 current liabilities</w:t>
            </w:r>
          </w:p>
        </w:tc>
        <w:tc>
          <w:tcPr>
            <w:tcW w:w="237" w:type="dxa"/>
            <w:tcBorders/>
            <w:shd w:fill="CCEEFF" w:val="cle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2,982</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35,298</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35,733</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41,405</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41,659</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237"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67,569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68,417</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10,085</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119,122</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120,647</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154,420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156,380</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 100,000,000 shares authorized; 4,515,054 and 4,247,018 shares issued and outstanding at March 31, 2026 and December 31, 2025, respectively</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237"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32,651</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28,627</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w:t>
            </w:r>
          </w:p>
        </w:tc>
        <w:tc>
          <w:tcPr>
            <w:tcW w:w="23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shareholders’ deficit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(6,088)</w:t>
            </w:r>
          </w:p>
        </w:tc>
      </w:tr>
      <w:tr>
        <w:trPr/>
        <w:tc>
          <w:tcPr>
            <w:tcW w:w="74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25,437</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21,803</w:t>
            </w:r>
          </w:p>
        </w:tc>
      </w:tr>
      <w:tr>
        <w:trPr/>
        <w:tc>
          <w:tcPr>
            <w:tcW w:w="74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SHAREHOLDERS’ EQUITY</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179,857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178,183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0" w:name="_405e512e_8d65_4c4a_8574_989f360af019"/>
      <w:bookmarkEnd w:id="170"/>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171" w:name="CONDENSEDCONSOLIDATEDINCOMESTATEMENTS"/>
      <w:bookmarkEnd w:id="171"/>
      <w:r>
        <w:rPr>
          <w:rFonts w:ascii="Times New Roman;Times;serif" w:hAnsi="Times New Roman;Times;serif"/>
          <w:b/>
          <w:sz w:val="20"/>
        </w:rPr>
        <w:t>CONDENSED CONSOLIDATED STATEMENTS OF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72" w:name="Tc_FIXFk3zIGUOtOwFSY5vtTQ_24_0"/>
      <w:bookmarkStart w:id="173" w:name="Tc_FjCK27-cZ0CYyDidqNSBmg_23_0"/>
      <w:bookmarkStart w:id="174" w:name="Tc_XbVQfKeQw0W1_OMmHkOuLg_22_5"/>
      <w:bookmarkStart w:id="175" w:name="Tc_IBiwk2LNrUmLdiLUznPdoQ_22_2"/>
      <w:bookmarkStart w:id="176" w:name="Tc_T8-xWtO0aUauFHTuWnbUbg_22_0"/>
      <w:bookmarkStart w:id="177" w:name="Tc_gt9HDM7nNEKX-13jke_Mmw_21_5"/>
      <w:bookmarkStart w:id="178" w:name="Tc_ZeRkxi0JtUG7WQChlYrm0g_21_2"/>
      <w:bookmarkStart w:id="179" w:name="Tc_XlEazJlGVUiD_qPPoCFpDQ_21_0"/>
      <w:bookmarkStart w:id="180" w:name="Tc_9qJtxea8a0Cudeg6FqFrcg_20_0"/>
      <w:bookmarkStart w:id="181" w:name="Tc_gNYPHKDiEkOemAWEAUThpQ_19_5"/>
      <w:bookmarkStart w:id="182" w:name="Tc_siYPhFfzg0en2kdP8j73gw_19_2"/>
      <w:bookmarkStart w:id="183" w:name="Tc_IFPPpvtw5kSGq01SvFR_yQ_19_0"/>
      <w:bookmarkStart w:id="184" w:name="Tc_OJczo_ojNEaiLflnob9TSw_18_0"/>
      <w:bookmarkStart w:id="185" w:name="Tc_TefGiEhVA0WvG33ga6a7QA_17_0"/>
      <w:bookmarkStart w:id="186" w:name="Tc_awtNR5nb7Eq5a-CdeOWeJA_16_0"/>
      <w:bookmarkStart w:id="187" w:name="Tc_x8L5xRO-VkmJZWuelZNdHw_15_0"/>
      <w:bookmarkStart w:id="188" w:name="Tc_NT9X3-diJEG4kKW6Q5beMA_14_0"/>
      <w:bookmarkStart w:id="189" w:name="Tc_fFbFl4bZ1k2ORgGujh5pMQ_13_0"/>
      <w:bookmarkStart w:id="190" w:name="Tc_ypK1JPN_E0qRS5oBKtP8Bw_12_0"/>
      <w:bookmarkStart w:id="191" w:name="Tc_NjH5d8BudE-qEuCcM1BM8w_11_0"/>
      <w:bookmarkStart w:id="192" w:name="Tc_jvn4Owgqe0SpQXChOMzRKw_10_0"/>
      <w:bookmarkStart w:id="193" w:name="Tc_I_9HmcwGxU6rJ4rG5hZEpw_9_0"/>
      <w:bookmarkStart w:id="194" w:name="Tc_bqjy7l6yFEyRlLhPlcBPVg_8_0"/>
      <w:bookmarkStart w:id="195" w:name="Tc_biUlNMsuKE6vhKANm8HP_A_7_0"/>
      <w:bookmarkStart w:id="196" w:name="Tc_YyV-M5TUf0mWYjA05OCX7Q_6_0"/>
      <w:bookmarkStart w:id="197" w:name="Tc_fzT6SvTgLEG8jKQdra_jfw_5_0"/>
      <w:bookmarkStart w:id="198" w:name="Tc_QtNZT4faSk2rSF_FabUwfQ_4_5"/>
      <w:bookmarkStart w:id="199" w:name="Tc_hietU2jKSUO9IJ87pbSBXg_4_2"/>
      <w:bookmarkStart w:id="200" w:name="Tc_MJs5hLGqTEqQ8_UNm_bTNQ_4_0"/>
      <w:bookmarkStart w:id="201" w:name="Tc_3vbwDGB0xUm9P4pahm4TrQ_3_5"/>
      <w:bookmarkStart w:id="202" w:name="Tc_X58ov9D4okGbkF9jQcqZoA_3_2"/>
      <w:bookmarkStart w:id="203" w:name="Tc_O-6KsvU08ECwt3AdRRAtKQ_2_5"/>
      <w:bookmarkStart w:id="204" w:name="Tc_WAvZW0iP6kCDodJThuw5IQ_2_2"/>
      <w:bookmarkStart w:id="205" w:name="Tc_hXhwLn8OEkGN5IMp8af1WA_1_2"/>
      <w:bookmarkStart w:id="206" w:name="_f8b0a4d7_7a1e_4ead_82ca_1e2c36ef44df"/>
      <w:bookmarkStart w:id="207" w:name="Tc_FIXFk3zIGUOtOwFSY5vtTQ_24_0"/>
      <w:bookmarkStart w:id="208" w:name="Tc_FjCK27-cZ0CYyDidqNSBmg_23_0"/>
      <w:bookmarkStart w:id="209" w:name="Tc_XbVQfKeQw0W1_OMmHkOuLg_22_5"/>
      <w:bookmarkStart w:id="210" w:name="Tc_IBiwk2LNrUmLdiLUznPdoQ_22_2"/>
      <w:bookmarkStart w:id="211" w:name="Tc_T8-xWtO0aUauFHTuWnbUbg_22_0"/>
      <w:bookmarkStart w:id="212" w:name="Tc_gt9HDM7nNEKX-13jke_Mmw_21_5"/>
      <w:bookmarkStart w:id="213" w:name="Tc_ZeRkxi0JtUG7WQChlYrm0g_21_2"/>
      <w:bookmarkStart w:id="214" w:name="Tc_XlEazJlGVUiD_qPPoCFpDQ_21_0"/>
      <w:bookmarkStart w:id="215" w:name="Tc_9qJtxea8a0Cudeg6FqFrcg_20_0"/>
      <w:bookmarkStart w:id="216" w:name="Tc_gNYPHKDiEkOemAWEAUThpQ_19_5"/>
      <w:bookmarkStart w:id="217" w:name="Tc_siYPhFfzg0en2kdP8j73gw_19_2"/>
      <w:bookmarkStart w:id="218" w:name="Tc_IFPPpvtw5kSGq01SvFR_yQ_19_0"/>
      <w:bookmarkStart w:id="219" w:name="Tc_OJczo_ojNEaiLflnob9TSw_18_0"/>
      <w:bookmarkStart w:id="220" w:name="Tc_TefGiEhVA0WvG33ga6a7QA_17_0"/>
      <w:bookmarkStart w:id="221" w:name="Tc_awtNR5nb7Eq5a-CdeOWeJA_16_0"/>
      <w:bookmarkStart w:id="222" w:name="Tc_x8L5xRO-VkmJZWuelZNdHw_15_0"/>
      <w:bookmarkStart w:id="223" w:name="Tc_NT9X3-diJEG4kKW6Q5beMA_14_0"/>
      <w:bookmarkStart w:id="224" w:name="Tc_fFbFl4bZ1k2ORgGujh5pMQ_13_0"/>
      <w:bookmarkStart w:id="225" w:name="Tc_ypK1JPN_E0qRS5oBKtP8Bw_12_0"/>
      <w:bookmarkStart w:id="226" w:name="Tc_NjH5d8BudE-qEuCcM1BM8w_11_0"/>
      <w:bookmarkStart w:id="227" w:name="Tc_jvn4Owgqe0SpQXChOMzRKw_10_0"/>
      <w:bookmarkStart w:id="228" w:name="Tc_I_9HmcwGxU6rJ4rG5hZEpw_9_0"/>
      <w:bookmarkStart w:id="229" w:name="Tc_bqjy7l6yFEyRlLhPlcBPVg_8_0"/>
      <w:bookmarkStart w:id="230" w:name="Tc_biUlNMsuKE6vhKANm8HP_A_7_0"/>
      <w:bookmarkStart w:id="231" w:name="Tc_YyV-M5TUf0mWYjA05OCX7Q_6_0"/>
      <w:bookmarkStart w:id="232" w:name="Tc_fzT6SvTgLEG8jKQdra_jfw_5_0"/>
      <w:bookmarkStart w:id="233" w:name="Tc_QtNZT4faSk2rSF_FabUwfQ_4_5"/>
      <w:bookmarkStart w:id="234" w:name="Tc_hietU2jKSUO9IJ87pbSBXg_4_2"/>
      <w:bookmarkStart w:id="235" w:name="Tc_MJs5hLGqTEqQ8_UNm_bTNQ_4_0"/>
      <w:bookmarkStart w:id="236" w:name="Tc_3vbwDGB0xUm9P4pahm4TrQ_3_5"/>
      <w:bookmarkStart w:id="237" w:name="Tc_X58ov9D4okGbkF9jQcqZoA_3_2"/>
      <w:bookmarkStart w:id="238" w:name="Tc_O-6KsvU08ECwt3AdRRAtKQ_2_5"/>
      <w:bookmarkStart w:id="239" w:name="Tc_WAvZW0iP6kCDodJThuw5IQ_2_2"/>
      <w:bookmarkStart w:id="240" w:name="Tc_hXhwLn8OEkGN5IMp8af1WA_1_2"/>
      <w:bookmarkStart w:id="241" w:name="_f8b0a4d7_7a1e_4ead_82ca_1e2c36ef44df"/>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8494" w:type="dxa"/>
        <w:jc w:val="left"/>
        <w:tblInd w:w="0" w:type="dxa"/>
        <w:tblLayout w:type="fixed"/>
        <w:tblCellMar>
          <w:top w:w="0" w:type="dxa"/>
          <w:left w:w="0" w:type="dxa"/>
          <w:bottom w:w="0" w:type="dxa"/>
          <w:right w:w="0" w:type="dxa"/>
        </w:tblCellMar>
      </w:tblPr>
      <w:tblGrid>
        <w:gridCol w:w="5401"/>
        <w:gridCol w:w="346"/>
        <w:gridCol w:w="211"/>
        <w:gridCol w:w="931"/>
        <w:gridCol w:w="346"/>
        <w:gridCol w:w="211"/>
        <w:gridCol w:w="1048"/>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429635" cy="175260"/>
                      <wp:effectExtent l="0" t="0" r="0" b="0"/>
                      <wp:wrapNone/>
                      <wp:docPr id="7" name="Frame7"/>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5480" cy="175260"/>
                      <wp:effectExtent l="0" t="0" r="0" b="0"/>
                      <wp:wrapNone/>
                      <wp:docPr id="13" name="Frame13"/>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pPr>
            <w:r>
              <w:rPr/>
              <w:t>​</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 and Laboratory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49,181</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number of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4,383,073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1,783,352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4,383,073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1,783,352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242" w:name="_04a4db52_2f9f_4365_a1b0_d8986dbdd817"/>
      <w:bookmarkEnd w:id="242"/>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243" w:name="CONDENSEDCONSOLIDATEDSTATEMENTSOFEQUITYD"/>
      <w:bookmarkEnd w:id="243"/>
      <w:r>
        <w:rPr>
          <w:rFonts w:ascii="Times New Roman;Times;serif" w:hAnsi="Times New Roman;Times;serif"/>
          <w:b/>
          <w:sz w:val="20"/>
        </w:rPr>
        <w:t>CONDENSED CONSOLIDATED STATEMENTS OF SHAREHOLDERS’ EQUITY (DEFICIT)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44" w:name="Tc_rXLxKvygxEKBtSjZAy5baQ_8_14"/>
      <w:bookmarkStart w:id="245" w:name="Tc_cuOWdxs4mkCXOEL0w7tUvw_8_11"/>
      <w:bookmarkStart w:id="246" w:name="Tc_jloG1dFj9EeSi8dsp8RFBg_8_8"/>
      <w:bookmarkStart w:id="247" w:name="Tc_jBbuwdrZUEW5dyxfcwW_VQ_8_5"/>
      <w:bookmarkStart w:id="248" w:name="Tc_50cvHwM8eUKYvVOXubBhxQ_8_2"/>
      <w:bookmarkStart w:id="249" w:name="Tc_-Yr1oUeU6UO3ayZJnfoxWA_8_0"/>
      <w:bookmarkStart w:id="250" w:name="Tc_V9wpwnkXKk-vw5CpB-St3Q_7_12"/>
      <w:bookmarkStart w:id="251" w:name="Tc_ZWWQxSOfekiCeJSktCbZDA_7_6"/>
      <w:bookmarkStart w:id="252" w:name="Tc_bKSPMdBpu0KsM_YemReMRA_7_3"/>
      <w:bookmarkStart w:id="253" w:name="Tc_STBNu73shEeTX1qX24voRw_7_0"/>
      <w:bookmarkStart w:id="254" w:name="Tc_RF-DlO03fUSMGGWl-Lc7zQ_6_9"/>
      <w:bookmarkStart w:id="255" w:name="Tc_nsG3OXy0y0OkwsQe2ZhFhA_6_6"/>
      <w:bookmarkStart w:id="256" w:name="Tc_CUcxzx0sN0eywgdJqxwFHQ_6_3"/>
      <w:bookmarkStart w:id="257" w:name="Tc_NMkCRF3UF02NoGR1zF3F-A_6_0"/>
      <w:bookmarkStart w:id="258" w:name="Tc_uOhqmucKDUO4sUOLxsgPNw_5_14"/>
      <w:bookmarkStart w:id="259" w:name="Tc_onlJxiB1s0aOxIWMtO6Zrw_5_11"/>
      <w:bookmarkStart w:id="260" w:name="Tc_G18u_Psb1US-2BGDHb29fA_5_8"/>
      <w:bookmarkStart w:id="261" w:name="Tc_BzzQoSLOEUyZQZdcqLF34A_5_5"/>
      <w:bookmarkStart w:id="262" w:name="Tc_274F7ynBgUe2HcQYS8Jr6w_5_2"/>
      <w:bookmarkStart w:id="263" w:name="Tc_hATWEzoozkuxdXbrG3WdRw_5_0"/>
      <w:bookmarkStart w:id="264" w:name="Tc_cTkdpKq9OEK-TTetie94gQ_4_15"/>
      <w:bookmarkStart w:id="265" w:name="Tc_O9XzTRBsi0W6VVZbNJzO1w_4_12"/>
      <w:bookmarkStart w:id="266" w:name="Tc_DL3BpQQZUESB-zrkSlL5cw_4_9"/>
      <w:bookmarkStart w:id="267" w:name="Tc_01IUTQaH8UqhhD7naIp4vA_4_6"/>
      <w:bookmarkStart w:id="268" w:name="Tc_UbI9xNmECk-FB1f2fm9ouw_4_3"/>
      <w:bookmarkStart w:id="269" w:name="Tc_CO_hs8al70yeUKClq2mIyg_3_15"/>
      <w:bookmarkStart w:id="270" w:name="Tc_-mCVoTJhHE-EiqLNT9ZU0g_3_12"/>
      <w:bookmarkStart w:id="271" w:name="Tc_7HR1cSjBhkarA6GJP4AanQ_3_9"/>
      <w:bookmarkStart w:id="272" w:name="Tc_bnyaLoDsrkulaWFf4H9GnA_3_6"/>
      <w:bookmarkStart w:id="273" w:name="Tc_0fY8-bKI-kG86mcwnmOUYA_3_3"/>
      <w:bookmarkStart w:id="274" w:name="Tc_IdSTnyVCykOLet1jvf5cfA_2_15"/>
      <w:bookmarkStart w:id="275" w:name="Tc_OM9iWmnMCUmTlaxaHVOZTA_2_12"/>
      <w:bookmarkStart w:id="276" w:name="Tc_Pnq8u8IoMEGvCho80H04aA_2_9"/>
      <w:bookmarkStart w:id="277" w:name="Tc_iuDTIyP5YkuaJKVHQV789Q_2_3"/>
      <w:bookmarkStart w:id="278" w:name="_231c5ab6_21ed_49e9_ad08_f8a7551a4003"/>
      <w:bookmarkStart w:id="279" w:name="Tc_rXLxKvygxEKBtSjZAy5baQ_8_14"/>
      <w:bookmarkStart w:id="280" w:name="Tc_cuOWdxs4mkCXOEL0w7tUvw_8_11"/>
      <w:bookmarkStart w:id="281" w:name="Tc_jloG1dFj9EeSi8dsp8RFBg_8_8"/>
      <w:bookmarkStart w:id="282" w:name="Tc_jBbuwdrZUEW5dyxfcwW_VQ_8_5"/>
      <w:bookmarkStart w:id="283" w:name="Tc_50cvHwM8eUKYvVOXubBhxQ_8_2"/>
      <w:bookmarkStart w:id="284" w:name="Tc_-Yr1oUeU6UO3ayZJnfoxWA_8_0"/>
      <w:bookmarkStart w:id="285" w:name="Tc_V9wpwnkXKk-vw5CpB-St3Q_7_12"/>
      <w:bookmarkStart w:id="286" w:name="Tc_ZWWQxSOfekiCeJSktCbZDA_7_6"/>
      <w:bookmarkStart w:id="287" w:name="Tc_bKSPMdBpu0KsM_YemReMRA_7_3"/>
      <w:bookmarkStart w:id="288" w:name="Tc_STBNu73shEeTX1qX24voRw_7_0"/>
      <w:bookmarkStart w:id="289" w:name="Tc_RF-DlO03fUSMGGWl-Lc7zQ_6_9"/>
      <w:bookmarkStart w:id="290" w:name="Tc_nsG3OXy0y0OkwsQe2ZhFhA_6_6"/>
      <w:bookmarkStart w:id="291" w:name="Tc_CUcxzx0sN0eywgdJqxwFHQ_6_3"/>
      <w:bookmarkStart w:id="292" w:name="Tc_NMkCRF3UF02NoGR1zF3F-A_6_0"/>
      <w:bookmarkStart w:id="293" w:name="Tc_uOhqmucKDUO4sUOLxsgPNw_5_14"/>
      <w:bookmarkStart w:id="294" w:name="Tc_onlJxiB1s0aOxIWMtO6Zrw_5_11"/>
      <w:bookmarkStart w:id="295" w:name="Tc_G18u_Psb1US-2BGDHb29fA_5_8"/>
      <w:bookmarkStart w:id="296" w:name="Tc_BzzQoSLOEUyZQZdcqLF34A_5_5"/>
      <w:bookmarkStart w:id="297" w:name="Tc_274F7ynBgUe2HcQYS8Jr6w_5_2"/>
      <w:bookmarkStart w:id="298" w:name="Tc_hATWEzoozkuxdXbrG3WdRw_5_0"/>
      <w:bookmarkStart w:id="299" w:name="Tc_cTkdpKq9OEK-TTetie94gQ_4_15"/>
      <w:bookmarkStart w:id="300" w:name="Tc_O9XzTRBsi0W6VVZbNJzO1w_4_12"/>
      <w:bookmarkStart w:id="301" w:name="Tc_DL3BpQQZUESB-zrkSlL5cw_4_9"/>
      <w:bookmarkStart w:id="302" w:name="Tc_01IUTQaH8UqhhD7naIp4vA_4_6"/>
      <w:bookmarkStart w:id="303" w:name="Tc_UbI9xNmECk-FB1f2fm9ouw_4_3"/>
      <w:bookmarkStart w:id="304" w:name="Tc_CO_hs8al70yeUKClq2mIyg_3_15"/>
      <w:bookmarkStart w:id="305" w:name="Tc_-mCVoTJhHE-EiqLNT9ZU0g_3_12"/>
      <w:bookmarkStart w:id="306" w:name="Tc_7HR1cSjBhkarA6GJP4AanQ_3_9"/>
      <w:bookmarkStart w:id="307" w:name="Tc_bnyaLoDsrkulaWFf4H9GnA_3_6"/>
      <w:bookmarkStart w:id="308" w:name="Tc_0fY8-bKI-kG86mcwnmOUYA_3_3"/>
      <w:bookmarkStart w:id="309" w:name="Tc_IdSTnyVCykOLet1jvf5cfA_2_15"/>
      <w:bookmarkStart w:id="310" w:name="Tc_OM9iWmnMCUmTlaxaHVOZTA_2_12"/>
      <w:bookmarkStart w:id="311" w:name="Tc_Pnq8u8IoMEGvCho80H04aA_2_9"/>
      <w:bookmarkStart w:id="312" w:name="Tc_iuDTIyP5YkuaJKVHQV789Q_2_3"/>
      <w:bookmarkStart w:id="313" w:name="_231c5ab6_21ed_49e9_ad08_f8a7551a4003"/>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bl>
      <w:tblPr>
        <w:tblW w:w="10205" w:type="dxa"/>
        <w:jc w:val="left"/>
        <w:tblInd w:w="0" w:type="dxa"/>
        <w:tblLayout w:type="fixed"/>
        <w:tblCellMar>
          <w:top w:w="0" w:type="dxa"/>
          <w:left w:w="0" w:type="dxa"/>
          <w:bottom w:w="0" w:type="dxa"/>
          <w:right w:w="0" w:type="dxa"/>
        </w:tblCellMar>
      </w:tblPr>
      <w:tblGrid>
        <w:gridCol w:w="2549"/>
        <w:gridCol w:w="346"/>
        <w:gridCol w:w="211"/>
        <w:gridCol w:w="766"/>
        <w:gridCol w:w="346"/>
        <w:gridCol w:w="211"/>
        <w:gridCol w:w="766"/>
        <w:gridCol w:w="346"/>
        <w:gridCol w:w="211"/>
        <w:gridCol w:w="1109"/>
        <w:gridCol w:w="346"/>
        <w:gridCol w:w="211"/>
        <w:gridCol w:w="871"/>
        <w:gridCol w:w="346"/>
        <w:gridCol w:w="211"/>
        <w:gridCol w:w="1359"/>
      </w:tblGrid>
      <w:tr>
        <w:trPr/>
        <w:tc>
          <w:tcPr>
            <w:tcW w:w="2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18615" cy="175260"/>
                      <wp:effectExtent l="0" t="0" r="0" b="0"/>
                      <wp:wrapNone/>
                      <wp:docPr id="14" name="Frame14"/>
                      <a:graphic xmlns:a="http://schemas.openxmlformats.org/drawingml/2006/main">
                        <a:graphicData uri="http://schemas.microsoft.com/office/word/2010/wordprocessingShape">
                          <wps:wsp>
                            <wps:cNvSpPr txBox="1"/>
                            <wps:spPr>
                              <a:xfrm>
                                <a:off x="0" y="0"/>
                                <a:ext cx="161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86410" cy="175260"/>
                      <wp:effectExtent l="0" t="0" r="0" b="0"/>
                      <wp:wrapNone/>
                      <wp:docPr id="17" name="Frame1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6410" cy="175260"/>
                      <wp:effectExtent l="0" t="0" r="0" b="0"/>
                      <wp:wrapNone/>
                      <wp:docPr id="20" name="Frame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04215" cy="175260"/>
                      <wp:effectExtent l="0" t="0" r="0" b="0"/>
                      <wp:wrapNone/>
                      <wp:docPr id="23" name="Frame23"/>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3085" cy="175260"/>
                      <wp:effectExtent l="0" t="0" r="0" b="0"/>
                      <wp:wrapNone/>
                      <wp:docPr id="26" name="Frame2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62965" cy="175260"/>
                      <wp:effectExtent l="0" t="0" r="0" b="0"/>
                      <wp:wrapNone/>
                      <wp:docPr id="29" name="Frame29"/>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59" w:type="dxa"/>
            <w:tcBorders/>
            <w:vAlign w:val="center"/>
          </w:tcPr>
          <w:p>
            <w:pPr>
              <w:pStyle w:val="TableContents"/>
              <w:bidi w:val="0"/>
              <w:spacing w:before="0" w:after="1"/>
              <w:ind w:left="0" w:right="0" w:hanging="0"/>
              <w:jc w:val="center"/>
              <w:rPr/>
            </w:pPr>
            <w:r>
              <w:rPr/>
              <w:t>​</w:t>
            </w:r>
          </w:p>
        </w:tc>
      </w:tr>
      <w:tr>
        <w:trPr/>
        <w:tc>
          <w:tcPr>
            <w:tcW w:w="25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PDPI</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5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5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 (Deficit)</w:t>
            </w:r>
          </w:p>
        </w:tc>
      </w:tr>
      <w:tr>
        <w:trPr/>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21,803</w:t>
            </w:r>
          </w:p>
        </w:tc>
      </w:tr>
      <w:tr>
        <w:trPr/>
        <w:tc>
          <w:tcPr>
            <w:tcW w:w="25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w:t>
            </w:r>
          </w:p>
        </w:tc>
      </w:tr>
      <w:tr>
        <w:trPr/>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25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 March 31, 2026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32,651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25,437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4" w:name="Tc_hNhsixVHZkCaIC7NAKGagA_7_14"/>
      <w:bookmarkStart w:id="315" w:name="Tc_oSKyprYMbEqFkpADqNeb-A_7_11"/>
      <w:bookmarkStart w:id="316" w:name="Tc_3C7EbegzLkO5vvBoJzbpDw_7_8"/>
      <w:bookmarkStart w:id="317" w:name="Tc_qOR1d2jUa0aLpbAdYiFIJg_7_5"/>
      <w:bookmarkStart w:id="318" w:name="Tc_C86d6oRiqkydBL6lcUUHAA_7_2"/>
      <w:bookmarkStart w:id="319" w:name="Tc_L71ctVDMB0-55Tk-4aa2Jg_7_0"/>
      <w:bookmarkStart w:id="320" w:name="Tc_qFyI8RP0CE6DWBpLnvJHXQ_6_12"/>
      <w:bookmarkStart w:id="321" w:name="Tc_Bn-nHNcO0EO3TWn_UUWgSg_6_6"/>
      <w:bookmarkStart w:id="322" w:name="Tc_N-LhyYx_YkaC8zwfuCkEVA_6_3"/>
      <w:bookmarkStart w:id="323" w:name="Tc_MZHete32XEyF70q0s0-Wug_6_0"/>
      <w:bookmarkStart w:id="324" w:name="Tc_pcFx2-AiRk6CdhwzylC7zg_5_12"/>
      <w:bookmarkStart w:id="325" w:name="Tc_ETjkUL5CUEWivRFFk8j4AA_5_9"/>
      <w:bookmarkStart w:id="326" w:name="Tc_zT9JXRFDpU6cqz3R4Vh8SA_5_3"/>
      <w:bookmarkStart w:id="327" w:name="Tc_z4FCoNrCRUKF-bDUBTT5XQ_5_0"/>
      <w:bookmarkStart w:id="328" w:name="Tc_fUsrzXBTXEGwoa-n23DXDw_4_14"/>
      <w:bookmarkStart w:id="329" w:name="Tc_-D68eeERdEGblJnNObcX5g_4_11"/>
      <w:bookmarkStart w:id="330" w:name="Tc_KVfyvCx1YUaO7fjhEpLEuA_4_8"/>
      <w:bookmarkStart w:id="331" w:name="Tc_1-Mos4IdrkWav7EmuGryVw_4_5"/>
      <w:bookmarkStart w:id="332" w:name="Tc_Rm7a0bFZkEuqBZ1xtKLMYQ_4_2"/>
      <w:bookmarkStart w:id="333" w:name="Tc_UzxhVmwE7kaLWp_wearklQ_4_0"/>
      <w:bookmarkStart w:id="334" w:name="Tc_p7DqZuBphESRmSIUornL7g_3_15"/>
      <w:bookmarkStart w:id="335" w:name="Tc_ANOvLf2cQUu8e_xYXQd52g_3_12"/>
      <w:bookmarkStart w:id="336" w:name="Tc_2qaEoHslv0SNfqeqfCPqNA_3_9"/>
      <w:bookmarkStart w:id="337" w:name="Tc_5VFz0cSWXkKAZkD0UcWcGQ_3_6"/>
      <w:bookmarkStart w:id="338" w:name="Tc_gAvFAr1pHEKiXvK_HslFnw_3_3"/>
      <w:bookmarkStart w:id="339" w:name="Tc_y_AvWyOvW02rH1LblUJfwQ_2_15"/>
      <w:bookmarkStart w:id="340" w:name="Tc_EU7TrKgqeUSM7kfscnW_Lg_2_12"/>
      <w:bookmarkStart w:id="341" w:name="Tc_V02l-mXEK0ur2DsIM7R7ng_2_9"/>
      <w:bookmarkStart w:id="342" w:name="Tc_dep42AbS70etSbSJ2w671g_2_6"/>
      <w:bookmarkStart w:id="343" w:name="Tc__2GLzm73vEmOJmkFrGU6CQ_2_3"/>
      <w:bookmarkStart w:id="344" w:name="Tc_UQcrBpyJzUeyGL1rBrpapQ_1_15"/>
      <w:bookmarkStart w:id="345" w:name="Tc_7pN9aqYEtE2Kw6XmhdoALQ_1_12"/>
      <w:bookmarkStart w:id="346" w:name="Tc_tBUjQwOvdEavlYCZTg1IhA_1_9"/>
      <w:bookmarkStart w:id="347" w:name="Tc_fsphdpoXUU-0yJgTUf45Uw_1_3"/>
      <w:bookmarkStart w:id="348" w:name="_617f2b8d_0718_47aa_8188_1ec3ac58b0b1"/>
      <w:bookmarkStart w:id="349" w:name="Tc_hNhsixVHZkCaIC7NAKGagA_7_14"/>
      <w:bookmarkStart w:id="350" w:name="Tc_oSKyprYMbEqFkpADqNeb-A_7_11"/>
      <w:bookmarkStart w:id="351" w:name="Tc_3C7EbegzLkO5vvBoJzbpDw_7_8"/>
      <w:bookmarkStart w:id="352" w:name="Tc_qOR1d2jUa0aLpbAdYiFIJg_7_5"/>
      <w:bookmarkStart w:id="353" w:name="Tc_C86d6oRiqkydBL6lcUUHAA_7_2"/>
      <w:bookmarkStart w:id="354" w:name="Tc_L71ctVDMB0-55Tk-4aa2Jg_7_0"/>
      <w:bookmarkStart w:id="355" w:name="Tc_qFyI8RP0CE6DWBpLnvJHXQ_6_12"/>
      <w:bookmarkStart w:id="356" w:name="Tc_Bn-nHNcO0EO3TWn_UUWgSg_6_6"/>
      <w:bookmarkStart w:id="357" w:name="Tc_N-LhyYx_YkaC8zwfuCkEVA_6_3"/>
      <w:bookmarkStart w:id="358" w:name="Tc_MZHete32XEyF70q0s0-Wug_6_0"/>
      <w:bookmarkStart w:id="359" w:name="Tc_pcFx2-AiRk6CdhwzylC7zg_5_12"/>
      <w:bookmarkStart w:id="360" w:name="Tc_ETjkUL5CUEWivRFFk8j4AA_5_9"/>
      <w:bookmarkStart w:id="361" w:name="Tc_zT9JXRFDpU6cqz3R4Vh8SA_5_3"/>
      <w:bookmarkStart w:id="362" w:name="Tc_z4FCoNrCRUKF-bDUBTT5XQ_5_0"/>
      <w:bookmarkStart w:id="363" w:name="Tc_fUsrzXBTXEGwoa-n23DXDw_4_14"/>
      <w:bookmarkStart w:id="364" w:name="Tc_-D68eeERdEGblJnNObcX5g_4_11"/>
      <w:bookmarkStart w:id="365" w:name="Tc_KVfyvCx1YUaO7fjhEpLEuA_4_8"/>
      <w:bookmarkStart w:id="366" w:name="Tc_1-Mos4IdrkWav7EmuGryVw_4_5"/>
      <w:bookmarkStart w:id="367" w:name="Tc_Rm7a0bFZkEuqBZ1xtKLMYQ_4_2"/>
      <w:bookmarkStart w:id="368" w:name="Tc_UzxhVmwE7kaLWp_wearklQ_4_0"/>
      <w:bookmarkStart w:id="369" w:name="Tc_p7DqZuBphESRmSIUornL7g_3_15"/>
      <w:bookmarkStart w:id="370" w:name="Tc_ANOvLf2cQUu8e_xYXQd52g_3_12"/>
      <w:bookmarkStart w:id="371" w:name="Tc_2qaEoHslv0SNfqeqfCPqNA_3_9"/>
      <w:bookmarkStart w:id="372" w:name="Tc_5VFz0cSWXkKAZkD0UcWcGQ_3_6"/>
      <w:bookmarkStart w:id="373" w:name="Tc_gAvFAr1pHEKiXvK_HslFnw_3_3"/>
      <w:bookmarkStart w:id="374" w:name="Tc_y_AvWyOvW02rH1LblUJfwQ_2_15"/>
      <w:bookmarkStart w:id="375" w:name="Tc_EU7TrKgqeUSM7kfscnW_Lg_2_12"/>
      <w:bookmarkStart w:id="376" w:name="Tc_V02l-mXEK0ur2DsIM7R7ng_2_9"/>
      <w:bookmarkStart w:id="377" w:name="Tc_dep42AbS70etSbSJ2w671g_2_6"/>
      <w:bookmarkStart w:id="378" w:name="Tc__2GLzm73vEmOJmkFrGU6CQ_2_3"/>
      <w:bookmarkStart w:id="379" w:name="Tc_UQcrBpyJzUeyGL1rBrpapQ_1_15"/>
      <w:bookmarkStart w:id="380" w:name="Tc_7pN9aqYEtE2Kw6XmhdoALQ_1_12"/>
      <w:bookmarkStart w:id="381" w:name="Tc_tBUjQwOvdEavlYCZTg1IhA_1_9"/>
      <w:bookmarkStart w:id="382" w:name="Tc_fsphdpoXUU-0yJgTUf45Uw_1_3"/>
      <w:bookmarkStart w:id="383" w:name="_617f2b8d_0718_47aa_8188_1ec3ac58b0b1"/>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tbl>
      <w:tblPr>
        <w:tblW w:w="10036" w:type="dxa"/>
        <w:jc w:val="left"/>
        <w:tblInd w:w="0" w:type="dxa"/>
        <w:tblLayout w:type="fixed"/>
        <w:tblCellMar>
          <w:top w:w="0" w:type="dxa"/>
          <w:left w:w="0" w:type="dxa"/>
          <w:bottom w:w="0" w:type="dxa"/>
          <w:right w:w="0" w:type="dxa"/>
        </w:tblCellMar>
      </w:tblPr>
      <w:tblGrid>
        <w:gridCol w:w="2581"/>
        <w:gridCol w:w="346"/>
        <w:gridCol w:w="211"/>
        <w:gridCol w:w="766"/>
        <w:gridCol w:w="346"/>
        <w:gridCol w:w="211"/>
        <w:gridCol w:w="766"/>
        <w:gridCol w:w="346"/>
        <w:gridCol w:w="211"/>
        <w:gridCol w:w="1111"/>
        <w:gridCol w:w="346"/>
        <w:gridCol w:w="211"/>
        <w:gridCol w:w="871"/>
        <w:gridCol w:w="346"/>
        <w:gridCol w:w="211"/>
        <w:gridCol w:w="115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38935" cy="175260"/>
                      <wp:effectExtent l="0" t="0" r="0" b="0"/>
                      <wp:wrapNone/>
                      <wp:docPr id="30" name="Frame3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6410" cy="175260"/>
                      <wp:effectExtent l="0" t="0" r="0" b="0"/>
                      <wp:wrapNone/>
                      <wp:docPr id="33" name="Frame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86410" cy="175260"/>
                      <wp:effectExtent l="0" t="0" r="0" b="0"/>
                      <wp:wrapNone/>
                      <wp:docPr id="36" name="Frame3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05485" cy="175260"/>
                      <wp:effectExtent l="0" t="0" r="0" b="0"/>
                      <wp:wrapNone/>
                      <wp:docPr id="39" name="Frame3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53085" cy="175260"/>
                      <wp:effectExtent l="0" t="0" r="0" b="0"/>
                      <wp:wrapNone/>
                      <wp:docPr id="42" name="Frame4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34060" cy="175260"/>
                      <wp:effectExtent l="0" t="0" r="0" b="0"/>
                      <wp:wrapNone/>
                      <wp:docPr id="45" name="Frame4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PDPI</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 March 31, 2025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4" w:name="_4930aba2_0bfa_4cef_8504_1d38763bdeae"/>
      <w:bookmarkEnd w:id="384"/>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385" w:name="CONDENSEDCONSOLIDATEDSTATEMENTSOFCASHFLO"/>
      <w:bookmarkEnd w:id="385"/>
      <w:r>
        <w:rPr>
          <w:rFonts w:ascii="Times New Roman;Times;serif" w:hAnsi="Times New Roman;Times;serif"/>
          <w:b/>
          <w:sz w:val="20"/>
        </w:rPr>
        <w:t>CONDENSED CONSOLIDATED STATEMENTS OF CASH FLOWS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86" w:name="Tc_OTAbG5iZ2kWuhpZ-7oJNMQ_41_5"/>
      <w:bookmarkStart w:id="387" w:name="Tc_XgdPhd7Ng0KqDrEZwSe9Lw_41_2"/>
      <w:bookmarkStart w:id="388" w:name="Tc_PJ6buvu8yUuoxIXmHe5Xcw_41_0"/>
      <w:bookmarkStart w:id="389" w:name="Tc_6tw_zTV0xE6CivJpMkgU4w_40_5"/>
      <w:bookmarkStart w:id="390" w:name="Tc_LbgyzFM8pk6KCgLUeOJlMQ_40_2"/>
      <w:bookmarkStart w:id="391" w:name="Tc_wv1jOWaPXk6VC8k80Abgfw_40_0"/>
      <w:bookmarkStart w:id="392" w:name="Tc_LMBKU1zL40ynOaP0kibkHA_39_0"/>
      <w:bookmarkStart w:id="393" w:name="Tc_MC2lxP7J60G1GBAXw7eMew_38_5"/>
      <w:bookmarkStart w:id="394" w:name="Tc_AxUGT4gAcES98n414TYpOw_38_2"/>
      <w:bookmarkStart w:id="395" w:name="Tc_YolUe4PTy021ocrwctxbXw_38_0"/>
      <w:bookmarkStart w:id="396" w:name="Tc_Iqz8Z47KFECaupeO_sYcAQ_37_0"/>
      <w:bookmarkStart w:id="397" w:name="Tc_sHEV7UDF20-XX3jHxsIenA_36_0"/>
      <w:bookmarkStart w:id="398" w:name="Tc_y538L7v3YEKIsmJL59aExQ_35_0"/>
      <w:bookmarkStart w:id="399" w:name="Tc_TohqHANNtEyf7lqe-dejSA_34_3"/>
      <w:bookmarkStart w:id="400" w:name="Tc_xeYLZOiCCUmNieEVHX0ZhQ_34_0"/>
      <w:bookmarkStart w:id="401" w:name="Tc_vRUe-SXt306ve_zGrx5YNg_33_0"/>
      <w:bookmarkStart w:id="402" w:name="Tc_orwg7b-wDEKkBuV1pBuRAg_32_0"/>
      <w:bookmarkStart w:id="403" w:name="Tc_2-5JgQX6-Eu6s4KhwoCImQ_31_0"/>
      <w:bookmarkStart w:id="404" w:name="Tc_CEN2vnvugESuG2iBYF3eRQ_30_0"/>
      <w:bookmarkStart w:id="405" w:name="Tc_dxjdDp6bZE6RJtzZLtKgWw_29_3"/>
      <w:bookmarkStart w:id="406" w:name="Tc_HvmgX2Jj10qyP68DPiKroA_29_0"/>
      <w:bookmarkStart w:id="407" w:name="Tc_f-9wNyTyOUaOKZZRtB5RrQ_28_5"/>
      <w:bookmarkStart w:id="408" w:name="Tc_1bOSuon_1U6pjxt4UaH0Mg_28_3"/>
      <w:bookmarkStart w:id="409" w:name="Tc_IIWXtGDy7UKUPexhruLcrA_28_2"/>
      <w:bookmarkStart w:id="410" w:name="Tc_PuoPTps6hUCujdX3ME6X8w_28_0"/>
      <w:bookmarkStart w:id="411" w:name="Tc_PWst7pImFkKFKyz0SYdgww_27_0"/>
      <w:bookmarkStart w:id="412" w:name="Tc_sekamyETtE6b7rtNXThfHQ_26_0"/>
      <w:bookmarkStart w:id="413" w:name="Tc_a_1Z0NEkhU60Tkgcj6TX6Q_25_6"/>
      <w:bookmarkStart w:id="414" w:name="Tc_d7_zW_CH0EKLtTdP4ueEyA_25_0"/>
      <w:bookmarkStart w:id="415" w:name="Tc_t0utzzEcxkayAf6S7IF94Q_24_6"/>
      <w:bookmarkStart w:id="416" w:name="Tc_DbVplSYeqUKj97QxaOelmw_24_0"/>
      <w:bookmarkStart w:id="417" w:name="Tc_ktkiYVomDUephjqIar9dzQ_23_0"/>
      <w:bookmarkStart w:id="418" w:name="Tc_0SFGQbGi1kCDbMx5ZzewfA_22_5"/>
      <w:bookmarkStart w:id="419" w:name="Tc_qz7y4NvSREaj2fiaMbs-uw_22_2"/>
      <w:bookmarkStart w:id="420" w:name="Tc_OIXCWOgIPkeUE49vkhuQ7Q_22_0"/>
      <w:bookmarkStart w:id="421" w:name="Tc_RIxzfRttbkypuluRA3MZug_21_0"/>
      <w:bookmarkStart w:id="422" w:name="Tc_rawQ_6UtaUexUmFDW6mxSw_20_0"/>
      <w:bookmarkStart w:id="423" w:name="Tc_g7f9r-A9f0eIUi8XAO8a2A_19_0"/>
      <w:bookmarkStart w:id="424" w:name="Tc_XVBWMAiPpEG7P_7nxtAVpQ_18_0"/>
      <w:bookmarkStart w:id="425" w:name="Tc_bvOY6Ocy-k-eIK2tqmIZCA_17_0"/>
      <w:bookmarkStart w:id="426" w:name="Tc_Qg_LbDyBBkeZxt4vZQ8iyw_16_0"/>
      <w:bookmarkStart w:id="427" w:name="Tc_pNjQ9ktkDE6cpUPb7W8pjw_15_0"/>
      <w:bookmarkStart w:id="428" w:name="Tc_CtRQhhris0qzfZIbberkWw_14_0"/>
      <w:bookmarkStart w:id="429" w:name="Tc_JMG7MTzPhk2i_7Of7jrFoQ_13_0"/>
      <w:bookmarkStart w:id="430" w:name="Tc_0bvLfJgnk0ialViwPddFGg_12_6"/>
      <w:bookmarkStart w:id="431" w:name="Tc_J6U_cwGnU0W16lNhitgzwg_12_0"/>
      <w:bookmarkStart w:id="432" w:name="Tc_t0-m9-K-kEG8ZhqRes1t4A_11_0"/>
      <w:bookmarkStart w:id="433" w:name="Tc_URrbLn67AU6D6b7qyAuhBQ_10_0"/>
      <w:bookmarkStart w:id="434" w:name="Tc_1NRCwxm_b0aAShZAr0f5CQ_9_0"/>
      <w:bookmarkStart w:id="435" w:name="Tc_U4mHdKz0IkCnZkCGj3VeVw_8_6"/>
      <w:bookmarkStart w:id="436" w:name="Tc_Lkne8kigp0qhKA7Z_1dtnA_8_0"/>
      <w:bookmarkStart w:id="437" w:name="Tc_8NPTlfdOWEayy2uTkRHj2g_7_0"/>
      <w:bookmarkStart w:id="438" w:name="Tc_bGwEXzb99EyTuqNH9U3nBw_6_0"/>
      <w:bookmarkStart w:id="439" w:name="Tc_s2PW2H9dBkWu-NGZwobI9A_5_5"/>
      <w:bookmarkStart w:id="440" w:name="Tc_XSuo_wMxyUi_LqDFZgn64Q_5_2"/>
      <w:bookmarkStart w:id="441" w:name="Tc_OtsOOzuRo026BqZgy6aNUw_5_0"/>
      <w:bookmarkStart w:id="442" w:name="Tc_Ja2u8lWPJUCPrcgwDSxunQ_4_0"/>
      <w:bookmarkStart w:id="443" w:name="Tc_4u4R_CPjkkG3kucgBKZZmQ_3_5"/>
      <w:bookmarkStart w:id="444" w:name="Tc_C1SIt9xiPUW2Ljw0WCVz6g_3_2"/>
      <w:bookmarkStart w:id="445" w:name="Tc_hKgBBUSWMECjAllzDheRNg_2_2"/>
      <w:bookmarkStart w:id="446" w:name="Tc_XsK11uqxUkqZ6u5rujWaOA_1_2"/>
      <w:bookmarkStart w:id="447" w:name="_80a76465_a125_4aaf_8b50_a2b4f658df49"/>
      <w:bookmarkStart w:id="448" w:name="Tc_OTAbG5iZ2kWuhpZ-7oJNMQ_41_5"/>
      <w:bookmarkStart w:id="449" w:name="Tc_XgdPhd7Ng0KqDrEZwSe9Lw_41_2"/>
      <w:bookmarkStart w:id="450" w:name="Tc_PJ6buvu8yUuoxIXmHe5Xcw_41_0"/>
      <w:bookmarkStart w:id="451" w:name="Tc_6tw_zTV0xE6CivJpMkgU4w_40_5"/>
      <w:bookmarkStart w:id="452" w:name="Tc_LbgyzFM8pk6KCgLUeOJlMQ_40_2"/>
      <w:bookmarkStart w:id="453" w:name="Tc_wv1jOWaPXk6VC8k80Abgfw_40_0"/>
      <w:bookmarkStart w:id="454" w:name="Tc_LMBKU1zL40ynOaP0kibkHA_39_0"/>
      <w:bookmarkStart w:id="455" w:name="Tc_MC2lxP7J60G1GBAXw7eMew_38_5"/>
      <w:bookmarkStart w:id="456" w:name="Tc_AxUGT4gAcES98n414TYpOw_38_2"/>
      <w:bookmarkStart w:id="457" w:name="Tc_YolUe4PTy021ocrwctxbXw_38_0"/>
      <w:bookmarkStart w:id="458" w:name="Tc_Iqz8Z47KFECaupeO_sYcAQ_37_0"/>
      <w:bookmarkStart w:id="459" w:name="Tc_sHEV7UDF20-XX3jHxsIenA_36_0"/>
      <w:bookmarkStart w:id="460" w:name="Tc_y538L7v3YEKIsmJL59aExQ_35_0"/>
      <w:bookmarkStart w:id="461" w:name="Tc_TohqHANNtEyf7lqe-dejSA_34_3"/>
      <w:bookmarkStart w:id="462" w:name="Tc_xeYLZOiCCUmNieEVHX0ZhQ_34_0"/>
      <w:bookmarkStart w:id="463" w:name="Tc_vRUe-SXt306ve_zGrx5YNg_33_0"/>
      <w:bookmarkStart w:id="464" w:name="Tc_orwg7b-wDEKkBuV1pBuRAg_32_0"/>
      <w:bookmarkStart w:id="465" w:name="Tc_2-5JgQX6-Eu6s4KhwoCImQ_31_0"/>
      <w:bookmarkStart w:id="466" w:name="Tc_CEN2vnvugESuG2iBYF3eRQ_30_0"/>
      <w:bookmarkStart w:id="467" w:name="Tc_dxjdDp6bZE6RJtzZLtKgWw_29_3"/>
      <w:bookmarkStart w:id="468" w:name="Tc_HvmgX2Jj10qyP68DPiKroA_29_0"/>
      <w:bookmarkStart w:id="469" w:name="Tc_f-9wNyTyOUaOKZZRtB5RrQ_28_5"/>
      <w:bookmarkStart w:id="470" w:name="Tc_1bOSuon_1U6pjxt4UaH0Mg_28_3"/>
      <w:bookmarkStart w:id="471" w:name="Tc_IIWXtGDy7UKUPexhruLcrA_28_2"/>
      <w:bookmarkStart w:id="472" w:name="Tc_PuoPTps6hUCujdX3ME6X8w_28_0"/>
      <w:bookmarkStart w:id="473" w:name="Tc_PWst7pImFkKFKyz0SYdgww_27_0"/>
      <w:bookmarkStart w:id="474" w:name="Tc_sekamyETtE6b7rtNXThfHQ_26_0"/>
      <w:bookmarkStart w:id="475" w:name="Tc_a_1Z0NEkhU60Tkgcj6TX6Q_25_6"/>
      <w:bookmarkStart w:id="476" w:name="Tc_d7_zW_CH0EKLtTdP4ueEyA_25_0"/>
      <w:bookmarkStart w:id="477" w:name="Tc_t0utzzEcxkayAf6S7IF94Q_24_6"/>
      <w:bookmarkStart w:id="478" w:name="Tc_DbVplSYeqUKj97QxaOelmw_24_0"/>
      <w:bookmarkStart w:id="479" w:name="Tc_ktkiYVomDUephjqIar9dzQ_23_0"/>
      <w:bookmarkStart w:id="480" w:name="Tc_0SFGQbGi1kCDbMx5ZzewfA_22_5"/>
      <w:bookmarkStart w:id="481" w:name="Tc_qz7y4NvSREaj2fiaMbs-uw_22_2"/>
      <w:bookmarkStart w:id="482" w:name="Tc_OIXCWOgIPkeUE49vkhuQ7Q_22_0"/>
      <w:bookmarkStart w:id="483" w:name="Tc_RIxzfRttbkypuluRA3MZug_21_0"/>
      <w:bookmarkStart w:id="484" w:name="Tc_rawQ_6UtaUexUmFDW6mxSw_20_0"/>
      <w:bookmarkStart w:id="485" w:name="Tc_g7f9r-A9f0eIUi8XAO8a2A_19_0"/>
      <w:bookmarkStart w:id="486" w:name="Tc_XVBWMAiPpEG7P_7nxtAVpQ_18_0"/>
      <w:bookmarkStart w:id="487" w:name="Tc_bvOY6Ocy-k-eIK2tqmIZCA_17_0"/>
      <w:bookmarkStart w:id="488" w:name="Tc_Qg_LbDyBBkeZxt4vZQ8iyw_16_0"/>
      <w:bookmarkStart w:id="489" w:name="Tc_pNjQ9ktkDE6cpUPb7W8pjw_15_0"/>
      <w:bookmarkStart w:id="490" w:name="Tc_CtRQhhris0qzfZIbberkWw_14_0"/>
      <w:bookmarkStart w:id="491" w:name="Tc_JMG7MTzPhk2i_7Of7jrFoQ_13_0"/>
      <w:bookmarkStart w:id="492" w:name="Tc_0bvLfJgnk0ialViwPddFGg_12_6"/>
      <w:bookmarkStart w:id="493" w:name="Tc_J6U_cwGnU0W16lNhitgzwg_12_0"/>
      <w:bookmarkStart w:id="494" w:name="Tc_t0-m9-K-kEG8ZhqRes1t4A_11_0"/>
      <w:bookmarkStart w:id="495" w:name="Tc_URrbLn67AU6D6b7qyAuhBQ_10_0"/>
      <w:bookmarkStart w:id="496" w:name="Tc_1NRCwxm_b0aAShZAr0f5CQ_9_0"/>
      <w:bookmarkStart w:id="497" w:name="Tc_U4mHdKz0IkCnZkCGj3VeVw_8_6"/>
      <w:bookmarkStart w:id="498" w:name="Tc_Lkne8kigp0qhKA7Z_1dtnA_8_0"/>
      <w:bookmarkStart w:id="499" w:name="Tc_8NPTlfdOWEayy2uTkRHj2g_7_0"/>
      <w:bookmarkStart w:id="500" w:name="Tc_bGwEXzb99EyTuqNH9U3nBw_6_0"/>
      <w:bookmarkStart w:id="501" w:name="Tc_s2PW2H9dBkWu-NGZwobI9A_5_5"/>
      <w:bookmarkStart w:id="502" w:name="Tc_XSuo_wMxyUi_LqDFZgn64Q_5_2"/>
      <w:bookmarkStart w:id="503" w:name="Tc_OtsOOzuRo026BqZgy6aNUw_5_0"/>
      <w:bookmarkStart w:id="504" w:name="Tc_Ja2u8lWPJUCPrcgwDSxunQ_4_0"/>
      <w:bookmarkStart w:id="505" w:name="Tc_4u4R_CPjkkG3kucgBKZZmQ_3_5"/>
      <w:bookmarkStart w:id="506" w:name="Tc_C1SIt9xiPUW2Ljw0WCVz6g_3_2"/>
      <w:bookmarkStart w:id="507" w:name="Tc_hKgBBUSWMECjAllzDheRNg_2_2"/>
      <w:bookmarkStart w:id="508" w:name="Tc_XsK11uqxUkqZ6u5rujWaOA_1_2"/>
      <w:bookmarkStart w:id="509" w:name="_80a76465_a125_4aaf_8b50_a2b4f658df49"/>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tbl>
      <w:tblPr>
        <w:tblW w:w="8767" w:type="dxa"/>
        <w:jc w:val="left"/>
        <w:tblInd w:w="0" w:type="dxa"/>
        <w:tblLayout w:type="fixed"/>
        <w:tblCellMar>
          <w:top w:w="0" w:type="dxa"/>
          <w:left w:w="0" w:type="dxa"/>
          <w:bottom w:w="0" w:type="dxa"/>
          <w:right w:w="0" w:type="dxa"/>
        </w:tblCellMar>
      </w:tblPr>
      <w:tblGrid>
        <w:gridCol w:w="6376"/>
        <w:gridCol w:w="346"/>
        <w:gridCol w:w="196"/>
        <w:gridCol w:w="631"/>
        <w:gridCol w:w="346"/>
        <w:gridCol w:w="196"/>
        <w:gridCol w:w="676"/>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048760" cy="175260"/>
                      <wp:effectExtent l="0" t="0" r="0" b="0"/>
                      <wp:wrapNone/>
                      <wp:docPr id="46" name="Frame46"/>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00685" cy="175260"/>
                      <wp:effectExtent l="0" t="0" r="0" b="0"/>
                      <wp:wrapNone/>
                      <wp:docPr id="49" name="Frame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29260" cy="175260"/>
                      <wp:effectExtent l="0" t="0" r="0" b="0"/>
                      <wp:wrapNone/>
                      <wp:docPr id="52" name="Frame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cash surrender value of life insurance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benefits and deferred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Life insurance premiums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purchases of dental practices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notes to related parties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borrowings on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repayments on line of credit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Dental practice purchase installment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checks issued in excess of cash balances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capital lease obligation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share repurchase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 – Cash paid during the period for: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in 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1,012</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10" w:name="_1acbd9f3_221c_45f8_bcf5_6dcc50cb1189"/>
      <w:bookmarkEnd w:id="510"/>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511" w:name="NOTESTOCONDENSEDCONSOLIDATEDFINANCIALSTA"/>
      <w:bookmarkEnd w:id="511"/>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amounts)</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1.NATURE OF BUSINESS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Nature of Business — </w:t>
      </w:r>
      <w:r>
        <w:rPr>
          <w:rFonts w:ascii="Times New Roman;Times;serif" w:hAnsi="Times New Roman;Times;serif"/>
          <w:sz w:val="20"/>
        </w:rPr>
        <w:t>We are a dental resource organization that provides administrative and other business support services to affiliated general and multi-specialty dental practices. We currently have exclusive long-term agreements with the following affiliated dental practices — PDG, P.A., Dental Specialists of Minnesota, PLLC and Orthodontic Specialists of Minnesota, PLLC, (together “affiliated dental practices”). We currently support 221 dentists across 86 practice locations. As a result of our exclusive, long-term agreements with our affiliated dental practices, our condensed consolidated financial results include the consolidated results of the affiliated dental practices, in which we do not hold an equity interest. References to “we”, “us”, and “our” refer to Park Dental Partners, Inc. (“PDPI”) and our affiliated general and multi-specialty dental practices PDG, P.A. (“PDG”), Dental Specialists of Minnesota, PLLC (“TDS”), and Orthodontic Specialists of Minnesota, PLLC (“The Dental Specialists Orthodontics”). PDG, TDS, and The Dental Specialists Orthodontics provide general and specialty dental care services to patients in Minnesota, Wisconsin, and Arizona.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Basis of presentation —</w:t>
      </w:r>
      <w:r>
        <w:rPr>
          <w:rFonts w:ascii="Times New Roman;Times;serif" w:hAnsi="Times New Roman;Times;serif"/>
          <w:sz w:val="20"/>
        </w:rPr>
        <w:t xml:space="preserve"> The accompanying condensed consolidated financial statements, including the balance sheet as of March 31, 2026, statements of operations and statements of stockholders’ equity (deficit), for the three months ended March 31, 2026 and 2025, and statements of cash flows for the three months ended March 31, 2026 and 2025, are unaudited. The condensed consolidated financial statements and accompanying notes are presented as permitted by Form 10-Q and do not contain certain information included in the Company’s annual consolidated financial statements and notes. The information included in this Quarterly Report should be read in conjunction with Part I, Item 2 “Management’s Discussion and Analysis of Financial Condition and Results of Operations” and consolidated financial statements and notes thereto for the fiscal year ended December 31, 2025 included in the Company’s Annual Report. In the opinion of management, these condensed financial statements reflect all adjustments, which include normal recurring adjustments, necessary for the fair statement of the Company’s financial position as of March 31, 2026 and the results of operations and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Segment Reporting</w:t>
      </w:r>
      <w:r>
        <w:rPr>
          <w:rFonts w:ascii="Times New Roman;Times;serif" w:hAnsi="Times New Roman;Times;serif"/>
          <w:sz w:val="20"/>
        </w:rPr>
        <w:t> — We manage our operations on a company-wide basis, rather than at a product or business unit level, thereby making determinations as to the allocation of resources as one operating and reportable segment. Our single segment derives revenues by providing general and specialty dental care services to patients. All financial information provided in the consolidated financial statements pertains to this single operating segment. All Company assets are located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chief executive officer and chairman is the chief operating decision maker (“CODM”). The CODM uses financial information at the consolidated level, including net income, gross margin, and Adjusted Earnings Before Interest, Tax, Depreciation and Amortization (“Adjusted EBITDA”), to assess performance and make key operating decisions, including approving annual operating plans, expanding into new markets, or pursuing business acquisitions. Net income and Adjusted EBITDA are used to monitor budget versus actual results, as well as trends compared to historical performance, which are the CODM’s primary considerations to assess performance. There are no segment managers held accountable by the CODM for operating results at levels or components below the consolidated unit level. The measure of segment assets is reported on the balance sheet as total consolidated assets. Our CODM does not review segment assets at a different asset level. The CODM has overall responsibility and accountability for the profitability and cash flows of the Company.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 xml:space="preserve">Other Current Liabilities and Other Long-Term Liabilities — </w:t>
      </w:r>
      <w:r>
        <w:rPr>
          <w:rFonts w:ascii="Times New Roman;Times;serif" w:hAnsi="Times New Roman;Times;serif"/>
          <w:sz w:val="20"/>
        </w:rPr>
        <w:t xml:space="preserve">Other current liabilities and other long-term liabilities include insurance and patient refunds, finance lease obligations, deferred rent, and practice acquisition installment notes. Practice acquisition installment notes are generally payable between 12 – 48 months after the date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12" w:name="Tc_7otFA86cl0awbbS3XVsjqg_6_2"/>
      <w:bookmarkStart w:id="513" w:name="Tc_RpeVWJZQnkWCDxt7RR5L5w_6_0"/>
      <w:bookmarkStart w:id="514" w:name="Tc_dhMsHZU1ykigVAoTYT9b1g_5_0"/>
      <w:bookmarkStart w:id="515" w:name="Tc__Myl_bLnMkafb0VRasUrzg_4_2"/>
      <w:bookmarkStart w:id="516" w:name="Tc_q36kd-Ka9EeBWdVMU4kB1w_4_0"/>
      <w:bookmarkStart w:id="517" w:name="Tc_5GO59fq2rEehOd8agNKsbw_3_2"/>
      <w:bookmarkStart w:id="518" w:name="Tc_QSuAfOSI20Gf1AhvUmsnuQ_2_2"/>
      <w:bookmarkStart w:id="519" w:name="Tc_iWsYykgLvEavzvP_ii1s1A_1_2"/>
      <w:bookmarkStart w:id="520" w:name="_83fa0f40_b642_47c9_84ab_494d155d3890"/>
      <w:bookmarkStart w:id="521" w:name="Tc_7eOIQNAybEOCsD8cxEc8Pg_7_2"/>
      <w:bookmarkStart w:id="522" w:name="Tc_dHhMfQ3SmUOyu8iDR5oZ3g_7_0"/>
      <w:bookmarkStart w:id="523" w:name="Tc_rBiikG2aq0yhFsLvDMW7Rg_6_0"/>
      <w:bookmarkStart w:id="524" w:name="Tc_ZNblJVLkR0u7P1WJKM2_uA_5_0"/>
      <w:bookmarkStart w:id="525" w:name="Tc_ziLYNFasrk2iGvRVophOcw_4_2"/>
      <w:bookmarkStart w:id="526" w:name="Tc_anH9kjYbnkSmPUUKDgrCKw_4_0"/>
      <w:bookmarkStart w:id="527" w:name="Tc_To2sVHv0P0mdF5uQhNYPxA_3_2"/>
      <w:bookmarkStart w:id="528" w:name="Tc_ttQyTcuaN0iVvoFyFYeVIw_2_2"/>
      <w:bookmarkStart w:id="529" w:name="Tc_LKUarulgbEKFkcZPmh3qjA_1_2"/>
      <w:bookmarkStart w:id="530" w:name="_e9faba8a_b453_426c_a241_32f742bf8177"/>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ascii="Times New Roman;Times;serif" w:hAnsi="Times New Roman;Times;serif"/>
          <w:sz w:val="20"/>
        </w:rPr>
        <w:t>the acquisition. The total liability of outstanding practice acquisition installment notes as of March 31, 2026 and December 31, 2025, included within the condensed consolidated balance sheet was $1,128 and $956, respectively, of which, the current portion was $627 and $505, respectively, and is included within other current liabilities. The following table provides details of the Company’s liability for outstanding practice acquisition installment notes:</w:t>
      </w:r>
    </w:p>
    <w:p>
      <w:pPr>
        <w:pStyle w:val="TextBody"/>
        <w:bidi w:val="0"/>
        <w:spacing w:before="0" w:after="0"/>
        <w:ind w:left="0" w:right="0" w:hanging="0"/>
        <w:jc w:val="left"/>
        <w:rPr/>
      </w:pPr>
      <w:r>
        <w:rPr/>
        <w:t>​</w:t>
      </w:r>
    </w:p>
    <w:tbl>
      <w:tblPr>
        <w:tblW w:w="6291" w:type="dxa"/>
        <w:jc w:val="left"/>
        <w:tblInd w:w="0" w:type="dxa"/>
        <w:tblLayout w:type="fixed"/>
        <w:tblCellMar>
          <w:top w:w="0" w:type="dxa"/>
          <w:left w:w="0" w:type="dxa"/>
          <w:bottom w:w="0" w:type="dxa"/>
          <w:right w:w="0" w:type="dxa"/>
        </w:tblCellMar>
      </w:tblPr>
      <w:tblGrid>
        <w:gridCol w:w="4876"/>
        <w:gridCol w:w="109"/>
        <w:gridCol w:w="306"/>
        <w:gridCol w:w="1000"/>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096260" cy="175260"/>
                      <wp:effectExtent l="0" t="0" r="0" b="0"/>
                      <wp:wrapNone/>
                      <wp:docPr id="53" name="Frame53"/>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4310" cy="175260"/>
                      <wp:effectExtent l="0" t="0" r="0" b="0"/>
                      <wp:wrapNone/>
                      <wp:docPr id="55" name="Frame5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5000" cy="175260"/>
                      <wp:effectExtent l="0" t="0" r="0" b="0"/>
                      <wp:wrapNone/>
                      <wp:docPr id="56" name="Frame5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Practice acquisition installment notes – 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related to acquisitions</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advanced to seller</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Practice acquisition installment notes – ending balance</w:t>
            </w:r>
          </w:p>
        </w:tc>
        <w:tc>
          <w:tcPr>
            <w:tcW w:w="109"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1,128</w:t>
            </w:r>
          </w:p>
        </w:tc>
      </w:tr>
    </w:tbl>
    <w:p>
      <w:pPr>
        <w:pStyle w:val="TextBody"/>
        <w:bidi w:val="0"/>
        <w:spacing w:before="0" w:after="240"/>
        <w:ind w:left="0" w:right="0" w:firstLine="360"/>
        <w:jc w:val="left"/>
        <w:rPr/>
      </w:pPr>
      <w:r>
        <w:rPr/>
        <w:t>​</w:t>
      </w:r>
    </w:p>
    <w:tbl>
      <w:tblPr>
        <w:tblW w:w="6291" w:type="dxa"/>
        <w:jc w:val="left"/>
        <w:tblInd w:w="0" w:type="dxa"/>
        <w:tblLayout w:type="fixed"/>
        <w:tblCellMar>
          <w:top w:w="0" w:type="dxa"/>
          <w:left w:w="0" w:type="dxa"/>
          <w:bottom w:w="0" w:type="dxa"/>
          <w:right w:w="0" w:type="dxa"/>
        </w:tblCellMar>
      </w:tblPr>
      <w:tblGrid>
        <w:gridCol w:w="4876"/>
        <w:gridCol w:w="109"/>
        <w:gridCol w:w="306"/>
        <w:gridCol w:w="1000"/>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96260" cy="175260"/>
                      <wp:effectExtent l="0" t="0" r="0" b="0"/>
                      <wp:wrapNone/>
                      <wp:docPr id="57" name="Frame57"/>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94310" cy="175260"/>
                      <wp:effectExtent l="0" t="0" r="0" b="0"/>
                      <wp:wrapNone/>
                      <wp:docPr id="59" name="Frame59"/>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35000" cy="175260"/>
                      <wp:effectExtent l="0" t="0" r="0" b="0"/>
                      <wp:wrapNone/>
                      <wp:docPr id="60" name="Frame60"/>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Practice acquisition installment notes – 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advanced to seller</w:t>
            </w:r>
          </w:p>
        </w:tc>
        <w:tc>
          <w:tcPr>
            <w:tcW w:w="109"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Practice acquisition installment notes – 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1,133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 — Our affiliated dental practices generate their revenue from services provided to patients. Generally, dental practices bill the patients and third-party payors after the services are performed. Revenue is recognized as performance obligations are satisfied. Patient care service revenue is reported at the amount that reflects the consideration to which the affiliated dental practices estimate to be entitled in exchange for providing patient care. These consideration amounts are due from patients and third-party payors (including dental insurers and government sponsored programs), and others and include variable consideration. Our affiliated dental groups determine the transaction price, which involves significant estimates and judgment, based on standard charges for goods and services provided, reduced by contractual allowance provided to third-party payors, discounts provided to uninsured patients in accordance with our policy and implicit price concessions based on its historical collection experience for each patient portfolio based on payor classes and service types. We regularly review data about these major payor sources of revenue in evaluating the sufficiency of the contractual allowance and implicit price concessions. Performance obligations are determined based on the nature of the services provided. For general dental care services, the performance obligations are satisfied as the patient simultaneously receives and consumes the benefits provided as the services are performed. Revenue from performance obligations satisfied over time is recognized based on total expected or actual services allocated to each performance obligation. Generally, performance obligations satisfied over time relate to patients receiving orthodontic services. For these services we measure the performance obligation from initial execution of the contract to the point when there are no further services required for the patient. Typically, revenue is recognized within 12-months of the commencement of services. In addition, our affiliated dental practices offer a direct-to-consumer dental care subscription for patients without dental insurance, which provides reduced costs for patient care over a 12-month period. Materially all deferred revenue at the end of a fiscal year is recognized within the subsequent 12-month period. The subscription revenue is deferred and recognized over the period of care. We believe that these methods provide an accurate depiction of the transfer of services over the term of the performance obligation based on the inputs needed to satisfy the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 the administrative resource agreements, Park Dental Partners, Inc. bills the affiliated dental practices for business and administrative services. However, this revenue and related expenses are eliminated in the financial statement consolidation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affiliated dental practices have agreements with third-party payors that typically provide for payments at amounts less than standard established charges. A summary of the payment arrangements with major third-party payors consists of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31" w:name="Tc_cxu5bEflcUKhmGmft6hAuQ_7_5"/>
      <w:bookmarkStart w:id="532" w:name="Tc_nLva7T5hNkSRWBmL-qBfNA_7_2"/>
      <w:bookmarkStart w:id="533" w:name="Tc_dT1X3CUHkUaUwU88wH-vDA_7_0"/>
      <w:bookmarkStart w:id="534" w:name="Tc_cV_dsYxPTkiF998JHKuvtA_6_0"/>
      <w:bookmarkStart w:id="535" w:name="Tc_NrnnZaRon0GHF0zU8A350w_5_0"/>
      <w:bookmarkStart w:id="536" w:name="Tc_DEAj_GkdZUKvD_jrCQ7Ezg_4_5"/>
      <w:bookmarkStart w:id="537" w:name="Tc_I5Y2ESwOkEeDKiGuQbX4Cw_4_2"/>
      <w:bookmarkStart w:id="538" w:name="Tc_GoTTIlvvM0muuOCg_EG_tA_4_0"/>
      <w:bookmarkStart w:id="539" w:name="Tc_FGxCROyqHkqNx5QDIwEHfA_3_2"/>
      <w:bookmarkStart w:id="540" w:name="Tc_1gJgYf9i40m4vWhWf-pOqw_2_5"/>
      <w:bookmarkStart w:id="541" w:name="Tc_tYLjLxBkb0y3ulBDEEHpRw_2_2"/>
      <w:bookmarkStart w:id="542" w:name="Tc_V8f7z2S_4Uy04L8XphxPlA_1_2"/>
      <w:bookmarkStart w:id="543" w:name="Tc_W9DA3g6Y5E-Xq33AkLsGlw_7_5"/>
      <w:bookmarkStart w:id="544" w:name="Tc_utLMSUpdxU2aKFqvgCO7AQ_7_2"/>
      <w:bookmarkStart w:id="545" w:name="Tc_d0z2HRXtnEqh5hAPzMiZRw_7_0"/>
      <w:bookmarkStart w:id="546" w:name="Tc_7WaXr-SMoEmx2YrAfMC4JQ_6_0"/>
      <w:bookmarkStart w:id="547" w:name="Tc_adI0ytgAbUaojpc1v-m_1A_5_5"/>
      <w:bookmarkStart w:id="548" w:name="Tc_NUZN82dJ9E-Aw2Cw5YV-fA_5_2"/>
      <w:bookmarkStart w:id="549" w:name="Tc_p_0KH7eGO0GavVms1Lbp4w_5_0"/>
      <w:bookmarkStart w:id="550" w:name="Tc_e8bx7NgX8EqX6pFXQBR84w_4_2"/>
      <w:bookmarkStart w:id="551" w:name="Tc_3q2DUpBF3kyOKdgr50MHQQ_3_5"/>
      <w:bookmarkStart w:id="552" w:name="Tc_4t13yAzOcE2l_5P-Gyb1Vg_3_2"/>
      <w:bookmarkStart w:id="553" w:name="Tc_AXhCWM337EetZ41QKtU2eA_2_2"/>
      <w:bookmarkStart w:id="554" w:name="Tc_9f1Z5hdn8kKaN6EOeGZg6Q_1_2"/>
      <w:bookmarkStart w:id="555" w:name="Tc_cxu5bEflcUKhmGmft6hAuQ_7_5"/>
      <w:bookmarkStart w:id="556" w:name="Tc_nLva7T5hNkSRWBmL-qBfNA_7_2"/>
      <w:bookmarkStart w:id="557" w:name="Tc_dT1X3CUHkUaUwU88wH-vDA_7_0"/>
      <w:bookmarkStart w:id="558" w:name="Tc_cV_dsYxPTkiF998JHKuvtA_6_0"/>
      <w:bookmarkStart w:id="559" w:name="Tc_NrnnZaRon0GHF0zU8A350w_5_0"/>
      <w:bookmarkStart w:id="560" w:name="Tc_DEAj_GkdZUKvD_jrCQ7Ezg_4_5"/>
      <w:bookmarkStart w:id="561" w:name="Tc_I5Y2ESwOkEeDKiGuQbX4Cw_4_2"/>
      <w:bookmarkStart w:id="562" w:name="Tc_GoTTIlvvM0muuOCg_EG_tA_4_0"/>
      <w:bookmarkStart w:id="563" w:name="Tc_FGxCROyqHkqNx5QDIwEHfA_3_2"/>
      <w:bookmarkStart w:id="564" w:name="Tc_1gJgYf9i40m4vWhWf-pOqw_2_5"/>
      <w:bookmarkStart w:id="565" w:name="Tc_tYLjLxBkb0y3ulBDEEHpRw_2_2"/>
      <w:bookmarkStart w:id="566" w:name="Tc_V8f7z2S_4Uy04L8XphxPlA_1_2"/>
      <w:bookmarkStart w:id="567" w:name="Tc_W9DA3g6Y5E-Xq33AkLsGlw_7_5"/>
      <w:bookmarkStart w:id="568" w:name="Tc_utLMSUpdxU2aKFqvgCO7AQ_7_2"/>
      <w:bookmarkStart w:id="569" w:name="Tc_d0z2HRXtnEqh5hAPzMiZRw_7_0"/>
      <w:bookmarkStart w:id="570" w:name="Tc_7WaXr-SMoEmx2YrAfMC4JQ_6_0"/>
      <w:bookmarkStart w:id="571" w:name="Tc_adI0ytgAbUaojpc1v-m_1A_5_5"/>
      <w:bookmarkStart w:id="572" w:name="Tc_NUZN82dJ9E-Aw2Cw5YV-fA_5_2"/>
      <w:bookmarkStart w:id="573" w:name="Tc_p_0KH7eGO0GavVms1Lbp4w_5_0"/>
      <w:bookmarkStart w:id="574" w:name="Tc_e8bx7NgX8EqX6pFXQBR84w_4_2"/>
      <w:bookmarkStart w:id="575" w:name="Tc_3q2DUpBF3kyOKdgr50MHQQ_3_5"/>
      <w:bookmarkStart w:id="576" w:name="Tc_4t13yAzOcE2l_5P-Gyb1Vg_3_2"/>
      <w:bookmarkStart w:id="577" w:name="Tc_AXhCWM337EetZ41QKtU2eA_2_2"/>
      <w:bookmarkStart w:id="578" w:name="Tc_9f1Z5hdn8kKaN6EOeGZg6Q_1_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Medicaid: services are generally paid at prospectively determined rates per charge, per occasion of service, or per covered member.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insurance: payment agreements with certain insurance carriers provide for payment using prospectively determined rates per charge, discounts from established charges, and fee schedules.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patient service revenue, net of allowances, implicit price concessions and discounts, recognized from these major payor sources and patients was as follows:</w:t>
      </w:r>
    </w:p>
    <w:p>
      <w:pPr>
        <w:pStyle w:val="TextBody"/>
        <w:bidi w:val="0"/>
        <w:spacing w:before="0" w:after="0"/>
        <w:ind w:left="0" w:right="0" w:hanging="0"/>
        <w:jc w:val="left"/>
        <w:rPr/>
      </w:pPr>
      <w:r>
        <w:rPr/>
        <w:t>​</w:t>
      </w:r>
    </w:p>
    <w:tbl>
      <w:tblPr>
        <w:tblW w:w="4219" w:type="dxa"/>
        <w:jc w:val="left"/>
        <w:tblInd w:w="0" w:type="dxa"/>
        <w:tblLayout w:type="fixed"/>
        <w:tblCellMar>
          <w:top w:w="0" w:type="dxa"/>
          <w:left w:w="0" w:type="dxa"/>
          <w:bottom w:w="0" w:type="dxa"/>
          <w:right w:w="0" w:type="dxa"/>
        </w:tblCellMar>
      </w:tblPr>
      <w:tblGrid>
        <w:gridCol w:w="1636"/>
        <w:gridCol w:w="346"/>
        <w:gridCol w:w="211"/>
        <w:gridCol w:w="676"/>
        <w:gridCol w:w="346"/>
        <w:gridCol w:w="211"/>
        <w:gridCol w:w="793"/>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038860" cy="175260"/>
                      <wp:effectExtent l="0" t="0" r="0" b="0"/>
                      <wp:wrapNone/>
                      <wp:docPr id="61" name="Frame6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3555" cy="175260"/>
                      <wp:effectExtent l="0" t="0" r="0" b="0"/>
                      <wp:wrapNone/>
                      <wp:docPr id="67" name="Frame6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payors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40,836</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18,201</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all payors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59,037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Patient Receivables and Credit Policy</w:t>
      </w:r>
      <w:r>
        <w:rPr>
          <w:rFonts w:ascii="Times New Roman;Times;serif" w:hAnsi="Times New Roman;Times;serif"/>
          <w:sz w:val="20"/>
        </w:rPr>
        <w:t> — Patient accounts receivable are uncollateralized patient obligations that are stated at the amount we expect to collect from outstanding balances. These obligations are primarily from local patients most of whom are insured under third-party payor agreements. Park Dental Partners, Inc. provides billing and collection services on behalf of the affiliated dental practices. Park Dental Partners, Inc. bills third-party payors on the patients’ behalf, or if a patient is uninsured, the patient is billed directly. Once claims are settled with the third-party payors, patients are billed for the remaining balance. Payments on accounts receivable are applied to the specific claim identified on the remittance advice or statement. Park Dental Partners, Inc. and its affiliated dentists have a policy of assessing a finance charge of 8% on patient past due accounts 90 days or older.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Carrying amounts of accounts receivable are reduced by contractual allowances and implicit price concessions that reflect management’s best estimate of the amounts that will not be collected. We provide for contractual adjustments under terms of third-party reimbursement agreements through a reduction of gross revenue and a credit to a contractual valuation allowance. In addition, we provide for probable uncollectible amounts, primarily for uninsured patients and amounts patients are personally responsible for, through a reduction in gross revenue and a credit to a valuation allowance based on its assessment of historical collection experience, trends for each of its major payor sources of revenue, and the current status of individual accounts. Balances that are still outstanding after we have used reasonable collection efforts are written off through a charge to the valuation allowance and credit to patient accounts receivable. Contractual allowances, concessions, and reserves for uncollectible accounts were $5,186 and $4,864 at March 31, 2026 and December 31,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Deferred Revenue</w:t>
      </w:r>
      <w:r>
        <w:rPr>
          <w:rFonts w:ascii="Times New Roman;Times;serif" w:hAnsi="Times New Roman;Times;serif"/>
          <w:sz w:val="20"/>
        </w:rPr>
        <w:t> — Deferred revenue is comprised of performance obligations satisfied over time which have not yet been completed, primarily related to orthodontic and dental subscription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deferred revenue were as follows:</w:t>
      </w:r>
    </w:p>
    <w:p>
      <w:pPr>
        <w:pStyle w:val="TextBody"/>
        <w:bidi w:val="0"/>
        <w:spacing w:before="0" w:after="0"/>
        <w:ind w:left="0" w:right="0" w:hanging="0"/>
        <w:jc w:val="left"/>
        <w:rPr/>
      </w:pPr>
      <w:r>
        <w:rPr/>
        <w:t>​</w:t>
      </w:r>
    </w:p>
    <w:tbl>
      <w:tblPr>
        <w:tblW w:w="7055" w:type="dxa"/>
        <w:jc w:val="left"/>
        <w:tblInd w:w="0" w:type="dxa"/>
        <w:tblLayout w:type="fixed"/>
        <w:tblCellMar>
          <w:top w:w="0" w:type="dxa"/>
          <w:left w:w="0" w:type="dxa"/>
          <w:bottom w:w="0" w:type="dxa"/>
          <w:right w:w="0" w:type="dxa"/>
        </w:tblCellMar>
      </w:tblPr>
      <w:tblGrid>
        <w:gridCol w:w="4921"/>
        <w:gridCol w:w="109"/>
        <w:gridCol w:w="211"/>
        <w:gridCol w:w="571"/>
        <w:gridCol w:w="346"/>
        <w:gridCol w:w="211"/>
        <w:gridCol w:w="68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124835" cy="175260"/>
                      <wp:effectExtent l="0" t="0" r="0" b="0"/>
                      <wp:wrapNone/>
                      <wp:docPr id="68" name="Frame68"/>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5610" cy="175260"/>
                      <wp:effectExtent l="0" t="0" r="0" b="0"/>
                      <wp:wrapNone/>
                      <wp:docPr id="74" name="Frame7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r>
      <w:tr>
        <w:trPr/>
        <w:tc>
          <w:tcPr>
            <w:tcW w:w="4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5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 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prior deferred revenue in the current quarter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 ending balance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579" w:name="Tc_QT7ohox0GkqXGYtzl1Bv7A_12_5"/>
      <w:bookmarkStart w:id="580" w:name="Tc_P6rlIaNVRUOaxJAKCR3XRw_12_2"/>
      <w:bookmarkStart w:id="581" w:name="Tc_etUPgxgauke0hxCWwx-rdg_12_0"/>
      <w:bookmarkStart w:id="582" w:name="Tc_xx2UvTse9E6dNklEGedgCA_11_0"/>
      <w:bookmarkStart w:id="583" w:name="Tc_EBrGgEdjOE-8wCZd4em91g_10_5"/>
      <w:bookmarkStart w:id="584" w:name="Tc_EEc_Qm5QOky3gWNE02W8Kg_10_2"/>
      <w:bookmarkStart w:id="585" w:name="Tc_AyVjtwDXWESeHufed-PpaQ_10_0"/>
      <w:bookmarkStart w:id="586" w:name="Tc_Pb66iLsxw0ieXE1mwK42Mw_9_0"/>
      <w:bookmarkStart w:id="587" w:name="Tc_jOrK-R20DUW1MHjYtjmT0w_8_5"/>
      <w:bookmarkStart w:id="588" w:name="Tc_OcBB5dehX0S-IWQN-KRpZg_8_2"/>
      <w:bookmarkStart w:id="589" w:name="Tc__Y22N0kP3Uekf3sKagqm1Q_8_0"/>
      <w:bookmarkStart w:id="590" w:name="Tc_gtsu_c41Zka-D35EoW5M3g_7_0"/>
      <w:bookmarkStart w:id="591" w:name="Tc_deUB8WBas0mBiUWgP8q-Qw_6_5"/>
      <w:bookmarkStart w:id="592" w:name="Tc_aJkUcZtE2EeBtDreiCqvXg_6_2"/>
      <w:bookmarkStart w:id="593" w:name="Tc_odj4af5L6ECnQQ-l9XBhPA_6_0"/>
      <w:bookmarkStart w:id="594" w:name="Tc_9W1FLcKUHEGCC0Tjd-RHeQ_5_0"/>
      <w:bookmarkStart w:id="595" w:name="Tc_JFlMovITR0Csv2B-PrFSLw_4_2"/>
      <w:bookmarkStart w:id="596" w:name="Tc_KdsuHhZNiUq7-b5LO0pE4Q_3_5"/>
      <w:bookmarkStart w:id="597" w:name="Tc_US2V1Yah-06At89hG_q-2w_3_2"/>
      <w:bookmarkStart w:id="598" w:name="Tc_9JQAFBkGPU6jZ7uwn1pWdw_2_2"/>
      <w:bookmarkStart w:id="599" w:name="Tc_5TJq5bBYE0m4JvVWI5ATiw_1_2"/>
      <w:bookmarkStart w:id="600" w:name="_27d90c70_8968_4f5e_8d1d_91fa1b02cb1f"/>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Pr>
          <w:rFonts w:ascii="Times New Roman;Times;serif" w:hAnsi="Times New Roman;Times;serif"/>
          <w:b/>
          <w:sz w:val="20"/>
        </w:rPr>
        <w:t>Specified Expense Items</w:t>
      </w:r>
      <w:r>
        <w:rPr>
          <w:rFonts w:ascii="Times New Roman;Times;serif" w:hAnsi="Times New Roman;Times;serif"/>
          <w:sz w:val="20"/>
        </w:rPr>
        <w:t xml:space="preserve"> — Significant segment level expense information provided to the CODM is consistent with our condensed consolidated statements of operations, as supplemented by the specified expense items provided to the CODM and disclosed in the table below:</w:t>
      </w:r>
    </w:p>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3586"/>
        <w:gridCol w:w="109"/>
        <w:gridCol w:w="239"/>
        <w:gridCol w:w="768"/>
        <w:gridCol w:w="123"/>
        <w:gridCol w:w="239"/>
        <w:gridCol w:w="819"/>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77110" cy="175260"/>
                      <wp:effectExtent l="0" t="0" r="0" b="0"/>
                      <wp:wrapNone/>
                      <wp:docPr id="75" name="Frame75"/>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1765" cy="175260"/>
                      <wp:effectExtent l="0" t="0" r="0" b="0"/>
                      <wp:wrapNone/>
                      <wp:docPr id="77" name="Frame7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87680" cy="175260"/>
                      <wp:effectExtent l="0" t="0" r="0" b="0"/>
                      <wp:wrapNone/>
                      <wp:docPr id="78" name="Frame78"/>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8105" cy="175260"/>
                      <wp:effectExtent l="0" t="0" r="0" b="0"/>
                      <wp:wrapNone/>
                      <wp:docPr id="79" name="Frame79"/>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1765" cy="175260"/>
                      <wp:effectExtent l="0" t="0" r="0" b="0"/>
                      <wp:wrapNone/>
                      <wp:docPr id="80" name="Frame8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0065" cy="175260"/>
                      <wp:effectExtent l="0" t="0" r="0" b="0"/>
                      <wp:wrapNone/>
                      <wp:docPr id="81" name="Frame8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3" w:type="dxa"/>
            <w:tcBorders/>
            <w:vAlign w:val="center"/>
          </w:tcPr>
          <w:p>
            <w:pPr>
              <w:pStyle w:val="TableContents"/>
              <w:bidi w:val="0"/>
              <w:spacing w:before="0" w:after="1"/>
              <w:ind w:left="0" w:right="0" w:hanging="0"/>
              <w:jc w:val="center"/>
              <w:rPr/>
            </w:pPr>
            <w:r>
              <w:rPr/>
              <w:t>​</w:t>
            </w:r>
          </w:p>
        </w:tc>
        <w:tc>
          <w:tcPr>
            <w:tcW w:w="10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Salaries and Benefits </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lef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Doctor compensation and benefits</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20,763</w:t>
            </w:r>
          </w:p>
        </w:tc>
        <w:tc>
          <w:tcPr>
            <w:tcW w:w="12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15,923</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team member salaries and benefits</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21,132</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19,714</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Salaries and Benefits</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41,895</w:t>
            </w:r>
          </w:p>
        </w:tc>
        <w:tc>
          <w:tcPr>
            <w:tcW w:w="12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35,637</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  ​</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pPr>
            <w:r>
              <w:rPr/>
              <w:t>  ​</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MinnesotaCare tax</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12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w:t>
            </w:r>
          </w:p>
        </w:tc>
      </w:tr>
      <w:tr>
        <w:trPr/>
        <w:tc>
          <w:tcPr>
            <w:tcW w:w="35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expenses of practices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 Other Operating expense</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w:t>
            </w:r>
          </w:p>
        </w:tc>
        <w:tc>
          <w:tcPr>
            <w:tcW w:w="123"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3,405</w:t>
            </w:r>
          </w:p>
        </w:tc>
      </w:tr>
    </w:tbl>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(1)Other expenses of practices include software and subscription costs, repairs and maintenance costs, recruiting, travel and entertainment, insurance, and other operating costs.</w:t>
      </w:r>
    </w:p>
    <w:p>
      <w:pPr>
        <w:pStyle w:val="TextBody"/>
        <w:bidi w:val="0"/>
        <w:spacing w:before="0" w:after="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Recently Adopted Accounting Pronouncements — </w:t>
      </w:r>
      <w:r>
        <w:rPr>
          <w:rFonts w:ascii="Times New Roman;Times;serif" w:hAnsi="Times New Roman;Times;serif"/>
          <w:sz w:val="20"/>
        </w:rPr>
        <w:t>The Company has not adopted any new accounting standards in the three months ended March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Recently Issued Accounting Pronouncements — </w:t>
      </w: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Income Statement-Reporting Comprehensive Income- Expense Disaggregation Disclosures </w:t>
      </w:r>
      <w:r>
        <w:rPr>
          <w:rFonts w:ascii="Times New Roman;Times;serif" w:hAnsi="Times New Roman;Times;serif"/>
          <w:sz w:val="20"/>
        </w:rPr>
        <w:t xml:space="preserve">(Subtopic 220-40): </w:t>
      </w:r>
      <w:r>
        <w:rPr>
          <w:rFonts w:ascii="Times New Roman;Times;serif" w:hAnsi="Times New Roman;Times;serif"/>
          <w:i/>
          <w:sz w:val="20"/>
        </w:rPr>
        <w:t xml:space="preserve">Disaggregation of Income Statement Expenses </w:t>
      </w:r>
      <w:r>
        <w:rPr>
          <w:rFonts w:ascii="Times New Roman;Times;serif" w:hAnsi="Times New Roman;Times;serif"/>
          <w:sz w:val="20"/>
        </w:rPr>
        <w:t>(“ASU 2024-03”), which requires the disaggregation, in the notes to the financial statements, of certain cost and expense captions presented on the face of the Company’s Statement of Operations, to provide enhanced transparency to investors. The update may be applied either prospectively or retrospectively. ASU 2024-03 is effective for fiscal years beginning after December 15, 2026, and interim periods within fiscal years beginning after December 15, 2027. Early adoption is permitted. We are currently evaluating the impact ASU 2024-03 will have on our disclosures.</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2.ACQUISITIONS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our affiliated dental practices acquired one general dental practice. This acquisition was completed on January 23, 2026. The final purchase consideration for the practices was $1,775, of which $1,595 was settled in cash and $180 in practice acquisition installment notes. The acquired practice is a single-location general practice located in Tucson, Arizona. In the three months ended March 31, 2025, our affiliated dental practices did not acquire any dental practices. Practice acquisition installment notes are generally payable between 12 and 48 months after the date of acquisition.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and financial condition of the acquired entity have been included in our condensed consolidated results as of the date of acquisition. For the three months ended March 31, 2026, the acquired entity’s impact on revenues and net earnings was not material. Unaudited pro forma revenues and net earnings for the three months ended March 31, 2026, as if the business combination had occurred on the first of the year, were immaterial for the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arising from the acquisition consists largely of the synergies and economies of scale expected from increased revenue and cost reductions. We anticipate that acquired goodwill will be deductible for tax purposes.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consideration paid, assessment of assets acquired and liabilities assumed, and resulting goodwill. Management’s measurement of the fair values of acquired assets and assumed liabilities and purchase price allocation is preliminary and subject to finalization when valuations and final assessments of the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01" w:name="Tc_d3WirZTePE2R2F4yUNeR9g_14_5"/>
      <w:bookmarkStart w:id="602" w:name="Tc_j2a84Z7caE6nWEcbkopJ2g_14_2"/>
      <w:bookmarkStart w:id="603" w:name="Tc_Fk47NrJDPUyBmfbVxGdOIg_14_0"/>
      <w:bookmarkStart w:id="604" w:name="Tc_EDAsDNz14EqAP1BZCcmEuQ_13_0"/>
      <w:bookmarkStart w:id="605" w:name="Tc_NY75e6ny9kCpgsNoIGDHdw_12_5"/>
      <w:bookmarkStart w:id="606" w:name="Tc_ONy2uWRTN06ExObX5NSS5g_12_2"/>
      <w:bookmarkStart w:id="607" w:name="Tc_FZ96EDukq0G4NDkTuyCW_Q_12_0"/>
      <w:bookmarkStart w:id="608" w:name="Tc_Qu3FkzDtwEapuvIQluDkBQ_11_5"/>
      <w:bookmarkStart w:id="609" w:name="Tc_kv-kwHDzM0a1vwrnqGRr0w_11_2"/>
      <w:bookmarkStart w:id="610" w:name="Tc_N9_Til5J3U6TY7RAxHpmTw_11_0"/>
      <w:bookmarkStart w:id="611" w:name="Tc_9BCUdF_qRU2KwWDyw4brpg_10_0"/>
      <w:bookmarkStart w:id="612" w:name="Tc_fgCeFFnjKUq9nobOWCthOw_9_0"/>
      <w:bookmarkStart w:id="613" w:name="Tc_Z4ZgKNXIDUu3wyIkrSsqWA_8_0"/>
      <w:bookmarkStart w:id="614" w:name="Tc_l-fAr2JvukqU19ZqpNQKmA_7_0"/>
      <w:bookmarkStart w:id="615" w:name="Tc_AMYt9a11wUm6BqaRrN6k_A_6_0"/>
      <w:bookmarkStart w:id="616" w:name="Tc_DLvI-wHjxUm7VH7evGTWJw_5_0"/>
      <w:bookmarkStart w:id="617" w:name="Tc_xh0iu6FAeUCBwtvAg65pVw_4_5"/>
      <w:bookmarkStart w:id="618" w:name="Tc_5RBp7wxV8kethBAW_vLBrA_4_2"/>
      <w:bookmarkStart w:id="619" w:name="Tc_xBXBHVgZ3kWcHBWGtITGLg_4_0"/>
      <w:bookmarkStart w:id="620" w:name="Tc_sa8N9tG4DEGWcnW3_Xi5EA_3_2"/>
      <w:bookmarkStart w:id="621" w:name="Tc_MTb5lKYhYkWOIm0Gm27i8w_2_5"/>
      <w:bookmarkStart w:id="622" w:name="Tc_PEJb4X5TRkSktd8QI-Bwrw_2_2"/>
      <w:bookmarkStart w:id="623" w:name="Tc_YWZprkmMekS7kbdtaoPbfw_1_5"/>
      <w:bookmarkStart w:id="624" w:name="Tc_jR8KA3heV0-9JNfb7Syt5g_1_2"/>
      <w:bookmarkStart w:id="625" w:name="Tc_D4XcLeWflEWtn6bE0PPHHA_14_2"/>
      <w:bookmarkStart w:id="626" w:name="Tc_ECRABoBjKUqfHc9PyRkKjQ_14_0"/>
      <w:bookmarkStart w:id="627" w:name="Tc_GUbbFgQmVEmYUW-ewHe5oQ_13_0"/>
      <w:bookmarkStart w:id="628" w:name="Tc_ggGbX_s8qUmQEyjAXffsoQ_12_2"/>
      <w:bookmarkStart w:id="629" w:name="Tc_Mt58pz7fkUit7jDqqDTWxQ_12_0"/>
      <w:bookmarkStart w:id="630" w:name="Tc_MWCYEOvhd0e4vEdqX43MzQ_11_2"/>
      <w:bookmarkStart w:id="631" w:name="Tc_bIql41g8gU6TCMQ-pShZ2A_11_0"/>
      <w:bookmarkStart w:id="632" w:name="Tc_tF3xR5S3MUyZlhwO8FHfmg_10_0"/>
      <w:bookmarkStart w:id="633" w:name="Tc_pMvhZmPMlUOiLm1DWuH4tw_9_0"/>
      <w:bookmarkStart w:id="634" w:name="Tc_v7b8OhB1fEaUSBGeI_vzzw_8_0"/>
      <w:bookmarkStart w:id="635" w:name="Tc_vCv5jkdCTU-0pupwdllYiQ_7_0"/>
      <w:bookmarkStart w:id="636" w:name="Tc_n11Tl2DfokeRiOxzc0t0TA_6_0"/>
      <w:bookmarkStart w:id="637" w:name="Tc_qppPUBrzKEmhsEv3qE50Gg_5_0"/>
      <w:bookmarkStart w:id="638" w:name="Tc_4p0adRGzlUCwBDy3pRqHrQ_4_2"/>
      <w:bookmarkStart w:id="639" w:name="Tc_s8SGE_SWX0qHrToNqZ2Eqw_4_0"/>
      <w:bookmarkStart w:id="640" w:name="Tc_LGqBiAxi306-jhHPzwlR-w_3_2"/>
      <w:bookmarkStart w:id="641" w:name="Tc_Y2GkL37C1kCy-ODaLD2Oew_2_2"/>
      <w:bookmarkStart w:id="642" w:name="Tc_IaL9xurWiEyeXCcFUQs9QQ_1_2"/>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sz w:val="20"/>
        </w:rPr>
        <w:t>value of acquired assets and assumed liabilities are completed in the measurement period (up to one year from the acquisition date). There can be no assurance that such final assessments will not result in material changes from the preliminary purchase price allocations, and such changes may result in changes in the opening balance sheet value of goodwill. The Company’s estimates and assumptions are subject to change during the measurement period as the Company finalizes the valuations of certain tangible and intangible assets acquired, and liabilities assumed. We expect to complete the purchase price allocation for the January 2026 acquisition during the fiscal year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Acquisition completed in the three months ended March 31, 2026:</w:t>
      </w:r>
    </w:p>
    <w:p>
      <w:pPr>
        <w:pStyle w:val="TextBody"/>
        <w:bidi w:val="0"/>
        <w:spacing w:before="0" w:after="0"/>
        <w:ind w:left="0" w:right="0" w:hanging="0"/>
        <w:jc w:val="left"/>
        <w:rPr/>
      </w:pPr>
      <w:r>
        <w:rPr/>
        <w:t>​</w:t>
      </w:r>
    </w:p>
    <w:tbl>
      <w:tblPr>
        <w:tblW w:w="5703" w:type="dxa"/>
        <w:jc w:val="left"/>
        <w:tblInd w:w="0" w:type="dxa"/>
        <w:tblLayout w:type="fixed"/>
        <w:tblCellMar>
          <w:top w:w="0" w:type="dxa"/>
          <w:left w:w="0" w:type="dxa"/>
          <w:bottom w:w="0" w:type="dxa"/>
          <w:right w:w="0" w:type="dxa"/>
        </w:tblCellMar>
      </w:tblPr>
      <w:tblGrid>
        <w:gridCol w:w="4051"/>
        <w:gridCol w:w="346"/>
        <w:gridCol w:w="306"/>
        <w:gridCol w:w="1000"/>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72385" cy="175260"/>
                      <wp:effectExtent l="0" t="0" r="0" b="0"/>
                      <wp:wrapNone/>
                      <wp:docPr id="82" name="Frame82"/>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4310" cy="175260"/>
                      <wp:effectExtent l="0" t="0" r="0" b="0"/>
                      <wp:wrapNone/>
                      <wp:docPr id="84" name="Frame8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35000" cy="175260"/>
                      <wp:effectExtent l="0" t="0" r="0" b="0"/>
                      <wp:wrapNone/>
                      <wp:docPr id="85" name="Frame85"/>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Dental supplies</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lease asset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lease liability</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acquired and liabilities assumed</w:t>
            </w:r>
          </w:p>
        </w:tc>
        <w:tc>
          <w:tcPr>
            <w:tcW w:w="346"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price</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amounts due to sellers – acquisitions</w:t>
            </w:r>
          </w:p>
        </w:tc>
        <w:tc>
          <w:tcPr>
            <w:tcW w:w="346"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in business combinations</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1,595</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2025, our affiliated dental practices acquired three single-location dental practices that provide general dental services. Due to the closing of two of the transactions on December 31, 2025, management’s measurement of the fair values of acquired assets and assumed liabilities and purchase price allocation was preliminary for the year ended December 31, 2025. These provisional amounts are subject to finalization when valuations and final assessments of the fair value of acquired assets and assumed liabilities are completed in the measurement period, which may extend up to one year from the respective acquisition dates. The purchase price allocations were finalized during the three months ended March 31, 2026.</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a comparison of the preliminary and final consideration paid, assessment of assets acquired and liabilities assumed, and resulting goodwill for the acquisitions completed in the year ended December 31, 2025:</w:t>
      </w:r>
    </w:p>
    <w:p>
      <w:pPr>
        <w:pStyle w:val="TextBody"/>
        <w:bidi w:val="0"/>
        <w:spacing w:before="0" w:after="240"/>
        <w:ind w:left="0" w:right="0" w:firstLine="360"/>
        <w:jc w:val="left"/>
        <w:rPr/>
      </w:pPr>
      <w:r>
        <w:rPr/>
        <w:t>​</w:t>
      </w:r>
    </w:p>
    <w:tbl>
      <w:tblPr>
        <w:tblW w:w="7548" w:type="dxa"/>
        <w:jc w:val="left"/>
        <w:tblInd w:w="0" w:type="dxa"/>
        <w:tblLayout w:type="fixed"/>
        <w:tblCellMar>
          <w:top w:w="0" w:type="dxa"/>
          <w:left w:w="0" w:type="dxa"/>
          <w:bottom w:w="0" w:type="dxa"/>
          <w:right w:w="0" w:type="dxa"/>
        </w:tblCellMar>
      </w:tblPr>
      <w:tblGrid>
        <w:gridCol w:w="4051"/>
        <w:gridCol w:w="346"/>
        <w:gridCol w:w="404"/>
        <w:gridCol w:w="1096"/>
        <w:gridCol w:w="346"/>
        <w:gridCol w:w="305"/>
        <w:gridCol w:w="1000"/>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572385" cy="175260"/>
                      <wp:effectExtent l="0" t="0" r="0" b="0"/>
                      <wp:wrapNone/>
                      <wp:docPr id="86" name="Frame86"/>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6540" cy="175260"/>
                      <wp:effectExtent l="0" t="0" r="0" b="0"/>
                      <wp:wrapNone/>
                      <wp:docPr id="88" name="Frame88"/>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5960" cy="175260"/>
                      <wp:effectExtent l="0" t="0" r="0" b="0"/>
                      <wp:wrapNone/>
                      <wp:docPr id="89" name="Frame8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3675" cy="175260"/>
                      <wp:effectExtent l="0" t="0" r="0" b="0"/>
                      <wp:wrapNone/>
                      <wp:docPr id="91" name="Frame9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5000" cy="175260"/>
                      <wp:effectExtent l="0" t="0" r="0" b="0"/>
                      <wp:wrapNone/>
                      <wp:docPr id="92" name="Frame92"/>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Preliminary as of</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Final as of</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754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lease asset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lease liability</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acquired and liabilities assumed</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purchase price</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amounts due to sellers – acquisitions</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in business combinations</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1,717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3, 2026, the Company and our affiliated dental practices entered into an agreement to acquire a general dental practice, subject to customary closing conditions, which is expected to close in the second quarter. The total anticipated purchase consideration is anticipated to be approximately $1,225.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bookmarkStart w:id="643" w:name="Tc_1aSjHvFXa0SKDFIZO1dk3A_7_5"/>
      <w:bookmarkStart w:id="644" w:name="Tc_ItcyPJDl3E24-F6X_XJLdw_7_2"/>
      <w:bookmarkStart w:id="645" w:name="Tc_9kpr8UD1t02DcF04N5jm8Q_7_0"/>
      <w:bookmarkStart w:id="646" w:name="Tc_ycIaxfZDPkWtc-DB7A8rmA_6_0"/>
      <w:bookmarkStart w:id="647" w:name="Tc_brWDvU1zJ0KsjSLBGHXnuQ_5_5"/>
      <w:bookmarkStart w:id="648" w:name="Tc_gDZrOu07AE2VQn73InqyZA_5_2"/>
      <w:bookmarkStart w:id="649" w:name="Tc_sCo0UUnctEeo6NQBIm8xWg_5_0"/>
      <w:bookmarkStart w:id="650" w:name="Tc_ldMixmqkzEuTaD6jCn784w_4_2"/>
      <w:bookmarkStart w:id="651" w:name="Tc_F3GQ2u2hJEeaHHYFSCDj_w_3_5"/>
      <w:bookmarkStart w:id="652" w:name="Tc_iTqJneoxx0eKGnYB2BcQhA_3_2"/>
      <w:bookmarkStart w:id="653" w:name="Tc_D7tC0UPEzEGyrAzXrFivqA_2_2"/>
      <w:bookmarkStart w:id="654" w:name="Tc_Dqa0lcxsPUeBmDe5_9gGyw_1_2"/>
      <w:bookmarkEnd w:id="643"/>
      <w:bookmarkEnd w:id="644"/>
      <w:bookmarkEnd w:id="645"/>
      <w:bookmarkEnd w:id="646"/>
      <w:bookmarkEnd w:id="647"/>
      <w:bookmarkEnd w:id="648"/>
      <w:bookmarkEnd w:id="649"/>
      <w:bookmarkEnd w:id="650"/>
      <w:bookmarkEnd w:id="651"/>
      <w:bookmarkEnd w:id="652"/>
      <w:bookmarkEnd w:id="653"/>
      <w:bookmarkEnd w:id="654"/>
      <w:r>
        <w:rPr>
          <w:rFonts w:ascii="Times New Roman;Times;serif" w:hAnsi="Times New Roman;Times;serif"/>
          <w:b/>
          <w:sz w:val="20"/>
        </w:rPr>
        <w:t>3.REVENUE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Disaggregated Revenue Information </w:t>
      </w:r>
      <w:r>
        <w:rPr>
          <w:rFonts w:ascii="Times New Roman;Times;serif" w:hAnsi="Times New Roman;Times;serif"/>
          <w:sz w:val="20"/>
        </w:rPr>
        <w:t>— We view the following disaggregated disclosures as useful to understanding the composition of revenue:</w:t>
      </w:r>
    </w:p>
    <w:p>
      <w:pPr>
        <w:pStyle w:val="TextBody"/>
        <w:bidi w:val="0"/>
        <w:spacing w:before="0" w:after="0"/>
        <w:ind w:left="0" w:right="0" w:hanging="0"/>
        <w:jc w:val="left"/>
        <w:rPr/>
      </w:pPr>
      <w:r>
        <w:rPr/>
        <w:t>​</w:t>
      </w:r>
    </w:p>
    <w:tbl>
      <w:tblPr>
        <w:tblW w:w="4759" w:type="dxa"/>
        <w:jc w:val="left"/>
        <w:tblInd w:w="0" w:type="dxa"/>
        <w:tblLayout w:type="fixed"/>
        <w:tblCellMar>
          <w:top w:w="0" w:type="dxa"/>
          <w:left w:w="0" w:type="dxa"/>
          <w:bottom w:w="0" w:type="dxa"/>
          <w:right w:w="0" w:type="dxa"/>
        </w:tblCellMar>
      </w:tblPr>
      <w:tblGrid>
        <w:gridCol w:w="2176"/>
        <w:gridCol w:w="346"/>
        <w:gridCol w:w="211"/>
        <w:gridCol w:w="676"/>
        <w:gridCol w:w="346"/>
        <w:gridCol w:w="211"/>
        <w:gridCol w:w="793"/>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81760" cy="175260"/>
                      <wp:effectExtent l="0" t="0" r="0" b="0"/>
                      <wp:wrapNone/>
                      <wp:docPr id="93" name="Frame9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03555" cy="175260"/>
                      <wp:effectExtent l="0" t="0" r="0" b="0"/>
                      <wp:wrapNone/>
                      <wp:docPr id="99" name="Frame9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5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dentistry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43,353</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Multi-Specialty dentistry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59,037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b/>
          <w:sz w:val="20"/>
        </w:rPr>
      </w:pPr>
      <w:bookmarkStart w:id="655" w:name="Tc_nfIFObTfM02AoiI4OHq5Gg_6_6"/>
      <w:bookmarkStart w:id="656" w:name="Tc_-BReqsLjHkaPB_A_lJZoZA_6_3"/>
      <w:bookmarkStart w:id="657" w:name="Tc_x9tFze6y7UmcRd6s1T8p1g_6_0"/>
      <w:bookmarkStart w:id="658" w:name="Tc_vtL4qLbTZUqQzu_4wChj7A_5_0"/>
      <w:bookmarkStart w:id="659" w:name="Tc_VcEpJ7SBsUOueekZ-4ygnQ_4_6"/>
      <w:bookmarkStart w:id="660" w:name="Tc_RQb9481QZ02T3GiBwN__gA_4_3"/>
      <w:bookmarkStart w:id="661" w:name="Tc_yPxvUb1UjkGBLtqRJKyqTQ_4_0"/>
      <w:bookmarkStart w:id="662" w:name="Tc_riPBASlRX0WXvqCUeix-4g_3_2"/>
      <w:bookmarkStart w:id="663" w:name="Tc_7Z0_HLBrQ0eUEH_HC8kpTg_2_5"/>
      <w:bookmarkStart w:id="664" w:name="Tc_jVazAFePFEWZF4CQhZGpNw_2_2"/>
      <w:bookmarkStart w:id="665" w:name="Tc_QF6_3JfNekmS-jkI-zOxhg_1_2"/>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sz w:val="20"/>
        </w:rPr>
        <w:t>4.CONCENTRATION OF 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us to possible credit risk consist principally of accounts receivable and cash deposits in excess of insured limits.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receivable consist of amounts due from patients, their insurers, or governmental agencies for health care provided to the patients. The majority of patients are from Minneapolis/St. Paul, Rochester, Sartell, and Duluth, Minnesota, western Wisconsin, Phoenix, Arizona, and Tucson, Arizona and the surrounding areas.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mix of receivables from patients and third-party payors are as follows:</w:t>
      </w:r>
    </w:p>
    <w:p>
      <w:pPr>
        <w:pStyle w:val="TextBody"/>
        <w:bidi w:val="0"/>
        <w:spacing w:before="0" w:after="0"/>
        <w:ind w:left="0" w:right="0" w:hanging="0"/>
        <w:jc w:val="left"/>
        <w:rPr/>
      </w:pPr>
      <w:r>
        <w:rPr/>
        <w:t>​</w:t>
      </w:r>
    </w:p>
    <w:tbl>
      <w:tblPr>
        <w:tblW w:w="4698" w:type="dxa"/>
        <w:jc w:val="left"/>
        <w:tblInd w:w="0" w:type="dxa"/>
        <w:tblLayout w:type="fixed"/>
        <w:tblCellMar>
          <w:top w:w="0" w:type="dxa"/>
          <w:left w:w="0" w:type="dxa"/>
          <w:bottom w:w="0" w:type="dxa"/>
          <w:right w:w="0" w:type="dxa"/>
        </w:tblCellMar>
      </w:tblPr>
      <w:tblGrid>
        <w:gridCol w:w="1636"/>
        <w:gridCol w:w="146"/>
        <w:gridCol w:w="678"/>
        <w:gridCol w:w="583"/>
        <w:gridCol w:w="109"/>
        <w:gridCol w:w="883"/>
        <w:gridCol w:w="663"/>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38860" cy="175260"/>
                      <wp:effectExtent l="0" t="0" r="0" b="0"/>
                      <wp:wrapNone/>
                      <wp:docPr id="100" name="Frame10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2710" cy="175260"/>
                      <wp:effectExtent l="0" t="0" r="0" b="0"/>
                      <wp:wrapNone/>
                      <wp:docPr id="101" name="Frame1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0530" cy="175260"/>
                      <wp:effectExtent l="0" t="0" r="0" b="0"/>
                      <wp:wrapNone/>
                      <wp:docPr id="102" name="Frame102"/>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70205" cy="175260"/>
                      <wp:effectExtent l="0" t="0" r="0" b="0"/>
                      <wp:wrapNone/>
                      <wp:docPr id="103" name="Frame103"/>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0705" cy="175260"/>
                      <wp:effectExtent l="0" t="0" r="0" b="0"/>
                      <wp:wrapNone/>
                      <wp:docPr id="105" name="Frame105"/>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1005" cy="175260"/>
                      <wp:effectExtent l="0" t="0" r="0" b="0"/>
                      <wp:wrapNone/>
                      <wp:docPr id="106" name="Frame10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9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16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6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91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w:t>
            </w:r>
          </w:p>
        </w:tc>
        <w:tc>
          <w:tcPr>
            <w:tcW w:w="146" w:type="dxa"/>
            <w:tcBorders/>
            <w:shd w:fill="CCEEFF" w:val="clear"/>
            <w:vAlign w:val="center"/>
          </w:tcPr>
          <w:p>
            <w:pPr>
              <w:pStyle w:val="TableContents"/>
              <w:bidi w:val="0"/>
              <w:spacing w:before="0" w:after="0"/>
              <w:ind w:left="0" w:right="0" w:hanging="0"/>
              <w:jc w:val="lef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payors</w:t>
            </w:r>
          </w:p>
        </w:tc>
        <w:tc>
          <w:tcPr>
            <w:tcW w:w="146" w:type="dxa"/>
            <w:tcBorders/>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583"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63"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146" w:type="dxa"/>
            <w:tcBorders/>
            <w:shd w:fill="CCEEFF" w:val="clear"/>
            <w:vAlign w:val="center"/>
          </w:tcPr>
          <w:p>
            <w:pPr>
              <w:pStyle w:val="TableContents"/>
              <w:bidi w:val="0"/>
              <w:spacing w:before="0" w:after="0"/>
              <w:ind w:left="0" w:right="0" w:hanging="0"/>
              <w:jc w:val="left"/>
              <w:rPr/>
            </w:pPr>
            <w:r>
              <w:rPr/>
              <w:t> </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third-party payor and their affiliated entities accounted for approximately 35% and approximately 32% of our condensed consolidated net revenue for the three months ended March 31,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receivable from one third-party payor and their affiliated entities accounted for approximately 18% and approximately 23% of total accounts receivable at March 31, 2026, and December 31,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depository relationship with one primary financial institution. Operating cash requirements frequently require that amounts on deposit exceed Federal Deposit Insurance Corporation limits. We believe this financial institution has a strong credit rating and that credit risk related to these deposits is minimal. As of March 31, 2026, and December 31, 2025, cash deposits in excess of the federally insured amounts were $23,798 and $24,618, respectively.</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left"/>
        <w:rPr>
          <w:rFonts w:ascii="Times New Roman;Times;serif" w:hAnsi="Times New Roman;Times;serif"/>
          <w:sz w:val="20"/>
        </w:rPr>
      </w:pPr>
      <w:bookmarkStart w:id="666" w:name="Tc_zipiBLzsnkumaFsbCmWOMw_12_5"/>
      <w:bookmarkStart w:id="667" w:name="Tc_AETQAzEQokWydlWg8HBzsQ_12_2"/>
      <w:bookmarkStart w:id="668" w:name="Tc_VhaCqiYNHUOBwfWrKj0bcA_12_0"/>
      <w:bookmarkStart w:id="669" w:name="Tc_5125LKqaYEy1cG4jdIRQOA_11_0"/>
      <w:bookmarkStart w:id="670" w:name="Tc_QbdSMMx43ka3m_o3e6Ed4w_10_0"/>
      <w:bookmarkStart w:id="671" w:name="Tc_WC28hmGSck6ApojRZwjfOQ_9_0"/>
      <w:bookmarkStart w:id="672" w:name="Tc_TaYI35AcEUSWYNk_lpa8Mg_8_0"/>
      <w:bookmarkStart w:id="673" w:name="Tc_x-cxWPXbtkq99bW6HrhjgA_7_0"/>
      <w:bookmarkStart w:id="674" w:name="Tc_EDlvmHTTMUy3Y38NpAQJJQ_6_0"/>
      <w:bookmarkStart w:id="675" w:name="Tc_A4SOfjNzWUa96MmZz5XFtA_5_0"/>
      <w:bookmarkStart w:id="676" w:name="Tc_8kAmJV_KJkOhP5vX8dZRaw_4_5"/>
      <w:bookmarkStart w:id="677" w:name="Tc_4D4Mjy9r1kuRhHK-CnP9vA_4_2"/>
      <w:bookmarkStart w:id="678" w:name="Tc_cj0zFCEEUEiGCD5eNTEPYg_4_0"/>
      <w:bookmarkStart w:id="679" w:name="Tc_0imueSJuwkKwOUN3uKlIlw_3_2"/>
      <w:bookmarkStart w:id="680" w:name="Tc_btmhIJWARUWR1YttvHARqg_2_5"/>
      <w:bookmarkStart w:id="681" w:name="Tc_cKXihscYmkaJpekJRhjy5Q_2_2"/>
      <w:bookmarkStart w:id="682" w:name="Tc_6P1U3o3QUkqpdnZDuYeFAA_1_2"/>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b/>
          <w:sz w:val="20"/>
        </w:rPr>
        <w:t>5.</w:t>
      </w:r>
      <w:r>
        <w:rPr>
          <w:rFonts w:ascii="Times New Roman;Times;serif" w:hAnsi="Times New Roman;Times;serif"/>
          <w:b/>
          <w:sz w:val="21"/>
        </w:rPr>
        <w:t>PROPERTY AND EQUIPMENT</w:t>
      </w:r>
    </w:p>
    <w:p>
      <w:pPr>
        <w:pStyle w:val="TextBody"/>
        <w:bidi w:val="0"/>
        <w:spacing w:before="0" w:after="0"/>
        <w:ind w:left="0" w:right="0" w:hanging="0"/>
        <w:jc w:val="left"/>
        <w:rPr/>
      </w:pPr>
      <w:r>
        <w:rPr/>
        <w:t>​</w:t>
      </w:r>
    </w:p>
    <w:tbl>
      <w:tblPr>
        <w:tblW w:w="6440" w:type="dxa"/>
        <w:jc w:val="left"/>
        <w:tblInd w:w="0" w:type="dxa"/>
        <w:tblLayout w:type="fixed"/>
        <w:tblCellMar>
          <w:top w:w="0" w:type="dxa"/>
          <w:left w:w="0" w:type="dxa"/>
          <w:bottom w:w="0" w:type="dxa"/>
          <w:right w:w="0" w:type="dxa"/>
        </w:tblCellMar>
      </w:tblPr>
      <w:tblGrid>
        <w:gridCol w:w="2941"/>
        <w:gridCol w:w="346"/>
        <w:gridCol w:w="268"/>
        <w:gridCol w:w="993"/>
        <w:gridCol w:w="346"/>
        <w:gridCol w:w="314"/>
        <w:gridCol w:w="1232"/>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67535" cy="175260"/>
                      <wp:effectExtent l="0" t="0" r="0" b="0"/>
                      <wp:wrapNone/>
                      <wp:docPr id="107" name="Frame10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0180" cy="175260"/>
                      <wp:effectExtent l="0" t="0" r="0" b="0"/>
                      <wp:wrapNone/>
                      <wp:docPr id="109" name="Frame10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30555" cy="175260"/>
                      <wp:effectExtent l="0" t="0" r="0" b="0"/>
                      <wp:wrapNone/>
                      <wp:docPr id="110" name="Frame11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99390" cy="175260"/>
                      <wp:effectExtent l="0" t="0" r="0" b="0"/>
                      <wp:wrapNone/>
                      <wp:docPr id="112" name="Frame11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82320" cy="175260"/>
                      <wp:effectExtent l="0" t="0" r="0" b="0"/>
                      <wp:wrapNone/>
                      <wp:docPr id="113" name="Frame113"/>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4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17,647</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 and signage</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50,567</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46,049</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122,098</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92,571</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29,527</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29,286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expense in the condensed consolidated statement of operations was $2,067 and $1,996 for the three months ended March 31, 2026 and 2025, respectively. All assets of the Company are located in the United States of America.</w:t>
      </w:r>
    </w:p>
    <w:p>
      <w:pPr>
        <w:pStyle w:val="TextBody"/>
        <w:bidi w:val="0"/>
        <w:ind w:left="0" w:right="0" w:hanging="0"/>
        <w:jc w:val="left"/>
        <w:rPr>
          <w:rFonts w:ascii="Times New Roman;Times;serif" w:hAnsi="Times New Roman;Times;serif"/>
          <w:sz w:val="20"/>
        </w:rPr>
      </w:pPr>
      <w:bookmarkStart w:id="683" w:name="Tc_OjVdYfO9tE2LNwMNPjCXgA_8_8"/>
      <w:bookmarkStart w:id="684" w:name="Tc_ggFx4ap2rkyY8Usuzd1g6g_8_5"/>
      <w:bookmarkStart w:id="685" w:name="Tc_DbW7AfF3c0Cyf1f1TME4jw_8_2"/>
      <w:bookmarkStart w:id="686" w:name="Tc_QHxjilSHjUGpapvxaN8O_w_8_0"/>
      <w:bookmarkStart w:id="687" w:name="Tc_KHikQjpMTkCwMcq0_OSafg_7_0"/>
      <w:bookmarkStart w:id="688" w:name="Tc_ZO7qafGNzUeiy-v7RGMUOg_6_9"/>
      <w:bookmarkStart w:id="689" w:name="Tc_YYCZkuSMW0WFaDRuCfvCbg_6_8"/>
      <w:bookmarkStart w:id="690" w:name="Tc_lcy78rr_DEiOc1S6aQZaog_6_5"/>
      <w:bookmarkStart w:id="691" w:name="Tc_vvqJ9zasmECS08Ew9yDvEQ_6_2"/>
      <w:bookmarkStart w:id="692" w:name="Tc_u7Lwhh8swkWs4WNzCXQ4Bg_6_0"/>
      <w:bookmarkStart w:id="693" w:name="Tc_QHUuH6LASk2rUeXo8G7rSw_5_0"/>
      <w:bookmarkStart w:id="694" w:name="Tc_TfbOdvNOFk-9WKF4zXGbsA_4_2"/>
      <w:bookmarkStart w:id="695" w:name="Tc_Op0LYJBk60GfOdkS6L6I7A_3_8"/>
      <w:bookmarkStart w:id="696" w:name="Tc_OmyGll0Xr0yKpBF0AjqmJg_3_5"/>
      <w:bookmarkStart w:id="697" w:name="Tc_pN9_NabCG0a-7G6g4VfgMw_3_2"/>
      <w:bookmarkStart w:id="698" w:name="Tc_4bn5faLXM0Wjv1aVUONE1A_2_8"/>
      <w:bookmarkStart w:id="699" w:name="Tc_uSp8s46r5UyG9JApLlkZhQ_2_5"/>
      <w:bookmarkStart w:id="700" w:name="Tc_X85xsbBSQ02er-gm_9aD3A_2_2"/>
      <w:bookmarkStart w:id="701" w:name="Tc_QlIbqN_ZJUufhUjo68Zc1g_1_2"/>
      <w:bookmarkStart w:id="702" w:name="_d99f0b46_6d3b_46fa_9df9_1d4ccc2c6ceb"/>
      <w:bookmarkStart w:id="703" w:name="Tc_CTLpSEUcC0CMUlKj1e02Qg_8_8"/>
      <w:bookmarkStart w:id="704" w:name="Tc_opQwTE8ofkWwL7wxEWVTwg_8_5"/>
      <w:bookmarkStart w:id="705" w:name="Tc_Ldyzd_7Lj0aX0jsMvTY8CA_8_2"/>
      <w:bookmarkStart w:id="706" w:name="Tc_CoEfE8LVHkGSh4JFpxmumA_8_0"/>
      <w:bookmarkStart w:id="707" w:name="Tc_M8r90M6GKUOvr5JztBl6qw_7_0"/>
      <w:bookmarkStart w:id="708" w:name="Tc_M_2gYNkxPk2iVwjR2se7vw_6_9"/>
      <w:bookmarkStart w:id="709" w:name="Tc_NLdR2czcC0WTF_InM_hJDg_6_8"/>
      <w:bookmarkStart w:id="710" w:name="Tc_l4tzeGR3rEKvKstgilRWqQ_6_2"/>
      <w:bookmarkStart w:id="711" w:name="Tc_mbtdW1Qr9USbFWXo-iPMFA_6_0"/>
      <w:bookmarkStart w:id="712" w:name="Tc_ne648M9PcUaJB07q2MNAuQ_5_0"/>
      <w:bookmarkStart w:id="713" w:name="Tc_gXHY9Glx-E6hW6kYY7ygYA_4_2"/>
      <w:bookmarkStart w:id="714" w:name="Tc_eqZ7MDSStESSNH20twUhdA_3_8"/>
      <w:bookmarkStart w:id="715" w:name="Tc_EFod2hTBWEuDb_xxQ9tXqw_3_5"/>
      <w:bookmarkStart w:id="716" w:name="Tc_Lysoiai-H0O3WlgUwl1GBQ_3_2"/>
      <w:bookmarkStart w:id="717" w:name="Tc_Zpa0h69frUOVLMS4fsKuuQ_2_8"/>
      <w:bookmarkStart w:id="718" w:name="Tc_3q8FV0GFu02bZ1Y8xULQdQ_2_5"/>
      <w:bookmarkStart w:id="719" w:name="Tc__8nULuopwkKJ9trX0uZA5w_2_2"/>
      <w:bookmarkStart w:id="720" w:name="Tc_6Cy4mLzcq0O90n1stt9Y1w_1_2"/>
      <w:bookmarkStart w:id="721" w:name="_113e679b_8742_4f72_a78a_38ce7457a89e"/>
      <w:bookmarkStart w:id="722" w:name="Tc_UQ6nXnNJpEihdE6H5CVrIA_8_2"/>
      <w:bookmarkStart w:id="723" w:name="Tc_q4LTpOGJ4EWWq18-4kS1Fg_8_0"/>
      <w:bookmarkStart w:id="724" w:name="Tc_ysoUKdDQD0ajS3fVpBwlIQ_7_0"/>
      <w:bookmarkStart w:id="725" w:name="Tc_kOiuCGVQQE2RrJ7raP4qNQ_6_0"/>
      <w:bookmarkStart w:id="726" w:name="Tc_yL-NcOf0ukyWO0zJLbtuiQ_5_2"/>
      <w:bookmarkStart w:id="727" w:name="Tc_tB6UaowGhUqA7LPS7-JWBg_5_0"/>
      <w:bookmarkStart w:id="728" w:name="Tc_G5fK-P71XkC-mjY6w4cXiw_4_0"/>
      <w:bookmarkStart w:id="729" w:name="Tc_1rrxUyd6fUCyCDgQ3kuKSg_3_2"/>
      <w:bookmarkStart w:id="730" w:name="Tc_hlVI8vjnHkaDsYs5Od7Ysw_2_2"/>
      <w:bookmarkStart w:id="731" w:name="Tc_uUZtOskZrEOc_BNrr8qqgw_1_2"/>
      <w:bookmarkStart w:id="732" w:name="Tc_uwRy-z5wu0-I-ufsjVJ47w_0_0"/>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sz w:val="20"/>
        </w:rPr>
        <w:t>6.</w:t>
      </w:r>
      <w:r>
        <w:rPr>
          <w:rFonts w:ascii="Times New Roman;Times;serif" w:hAnsi="Times New Roman;Times;serif"/>
          <w:b/>
          <w:sz w:val="21"/>
        </w:rPr>
        <w:t>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the carrying amount of Goodwill consisted of the following:</w:t>
      </w:r>
    </w:p>
    <w:p>
      <w:pPr>
        <w:pStyle w:val="TextBody"/>
        <w:bidi w:val="0"/>
        <w:spacing w:before="0" w:after="240"/>
        <w:ind w:left="0" w:right="0" w:firstLine="720"/>
        <w:jc w:val="left"/>
        <w:rPr/>
      </w:pPr>
      <w:r>
        <w:rPr/>
        <w:t>​</w:t>
      </w:r>
    </w:p>
    <w:tbl>
      <w:tblPr>
        <w:tblW w:w="4458" w:type="dxa"/>
        <w:jc w:val="left"/>
        <w:tblInd w:w="0" w:type="dxa"/>
        <w:tblLayout w:type="fixed"/>
        <w:tblCellMar>
          <w:top w:w="0" w:type="dxa"/>
          <w:left w:w="0" w:type="dxa"/>
          <w:bottom w:w="0" w:type="dxa"/>
          <w:right w:w="0" w:type="dxa"/>
        </w:tblCellMar>
      </w:tblPr>
      <w:tblGrid>
        <w:gridCol w:w="2806"/>
        <w:gridCol w:w="346"/>
        <w:gridCol w:w="274"/>
        <w:gridCol w:w="1032"/>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781810" cy="440055"/>
                      <wp:effectExtent l="0" t="0" r="0" b="0"/>
                      <wp:wrapNone/>
                      <wp:docPr id="114" name="Frame114"/>
                      <a:graphic xmlns:a="http://schemas.openxmlformats.org/drawingml/2006/main">
                        <a:graphicData uri="http://schemas.microsoft.com/office/word/2010/wordprocessingShape">
                          <wps:wsp>
                            <wps:cNvSpPr txBox="1"/>
                            <wps:spPr>
                              <a:xfrm>
                                <a:off x="0" y="0"/>
                                <a:ext cx="1781810" cy="440055"/>
                              </a:xfrm>
                              <a:prstGeom prst="rect"/>
                              <a:solidFill>
                                <a:srgbClr val="FFFFFF"/>
                              </a:solidFill>
                            </wps:spPr>
                            <wps:txbx>
                              <w:txbxContent>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the carrying value of Goodwill consisted of the following: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the carrying value of Goodwill consisted of the following:</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3990" cy="175260"/>
                      <wp:effectExtent l="0" t="0" r="0" b="0"/>
                      <wp:wrapNone/>
                      <wp:docPr id="116" name="Frame11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5320" cy="175260"/>
                      <wp:effectExtent l="0" t="0" r="0" b="0"/>
                      <wp:wrapNone/>
                      <wp:docPr id="117" name="Frame117"/>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8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Goodwill </w:t>
            </w:r>
          </w:p>
        </w:tc>
        <w:tc>
          <w:tcPr>
            <w:tcW w:w="346"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pPr>
            <w:r>
              <w:rPr/>
              <w:t>​</w:t>
            </w:r>
          </w:p>
        </w:tc>
        <w:tc>
          <w:tcPr>
            <w:tcW w:w="1032" w:type="dxa"/>
            <w:tcBorders/>
            <w:shd w:fill="CCEEFF" w:val="clear"/>
            <w:vAlign w:val="center"/>
          </w:tcPr>
          <w:p>
            <w:pPr>
              <w:pStyle w:val="TableContents"/>
              <w:bidi w:val="0"/>
              <w:spacing w:before="0" w:after="1"/>
              <w:ind w:left="0" w:right="0" w:hanging="0"/>
              <w:jc w:val="center"/>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17,178</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 period adjustments</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ending</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17,336</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in Goodwill for the three-months ended March 31, 2025.</w:t>
      </w:r>
    </w:p>
    <w:p>
      <w:pPr>
        <w:pStyle w:val="TextBody"/>
        <w:bidi w:val="0"/>
        <w:spacing w:before="0" w:after="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2581"/>
        <w:gridCol w:w="346"/>
        <w:gridCol w:w="296"/>
        <w:gridCol w:w="950"/>
        <w:gridCol w:w="346"/>
        <w:gridCol w:w="291"/>
        <w:gridCol w:w="790"/>
        <w:gridCol w:w="346"/>
        <w:gridCol w:w="236"/>
        <w:gridCol w:w="890"/>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38935" cy="175260"/>
                      <wp:effectExtent l="0" t="0" r="0" b="0"/>
                      <wp:wrapNone/>
                      <wp:docPr id="118" name="Frame118"/>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7960" cy="175260"/>
                      <wp:effectExtent l="0" t="0" r="0" b="0"/>
                      <wp:wrapNone/>
                      <wp:docPr id="120" name="Frame12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03250" cy="175260"/>
                      <wp:effectExtent l="0" t="0" r="0" b="0"/>
                      <wp:wrapNone/>
                      <wp:docPr id="121" name="Frame121"/>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84785" cy="175260"/>
                      <wp:effectExtent l="0" t="0" r="0" b="0"/>
                      <wp:wrapNone/>
                      <wp:docPr id="123" name="Frame12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01650" cy="175260"/>
                      <wp:effectExtent l="0" t="0" r="0" b="0"/>
                      <wp:wrapNone/>
                      <wp:docPr id="124" name="Frame12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9860" cy="175260"/>
                      <wp:effectExtent l="0" t="0" r="0" b="0"/>
                      <wp:wrapNone/>
                      <wp:docPr id="126" name="Frame12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5150" cy="175260"/>
                      <wp:effectExtent l="0" t="0" r="0" b="0"/>
                      <wp:wrapNone/>
                      <wp:docPr id="127" name="Frame127"/>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707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45"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Amortizable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19,490</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7,033</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12,457</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21,440</w:t>
            </w:r>
          </w:p>
        </w:tc>
        <w:tc>
          <w:tcPr>
            <w:tcW w:w="34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8,983</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12,457</w:t>
            </w:r>
          </w:p>
        </w:tc>
      </w:tr>
    </w:tbl>
    <w:p>
      <w:pPr>
        <w:pStyle w:val="TextBody"/>
        <w:bidi w:val="0"/>
        <w:spacing w:before="0" w:after="24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2581"/>
        <w:gridCol w:w="346"/>
        <w:gridCol w:w="296"/>
        <w:gridCol w:w="950"/>
        <w:gridCol w:w="346"/>
        <w:gridCol w:w="291"/>
        <w:gridCol w:w="790"/>
        <w:gridCol w:w="346"/>
        <w:gridCol w:w="236"/>
        <w:gridCol w:w="890"/>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38935" cy="175260"/>
                      <wp:effectExtent l="0" t="0" r="0" b="0"/>
                      <wp:wrapNone/>
                      <wp:docPr id="128" name="Frame128"/>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7960" cy="175260"/>
                      <wp:effectExtent l="0" t="0" r="0" b="0"/>
                      <wp:wrapNone/>
                      <wp:docPr id="130" name="Frame13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03250" cy="175260"/>
                      <wp:effectExtent l="0" t="0" r="0" b="0"/>
                      <wp:wrapNone/>
                      <wp:docPr id="131" name="Frame131"/>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4785" cy="175260"/>
                      <wp:effectExtent l="0" t="0" r="0" b="0"/>
                      <wp:wrapNone/>
                      <wp:docPr id="133" name="Frame13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1650" cy="175260"/>
                      <wp:effectExtent l="0" t="0" r="0" b="0"/>
                      <wp:wrapNone/>
                      <wp:docPr id="134" name="Frame13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9860" cy="175260"/>
                      <wp:effectExtent l="0" t="0" r="0" b="0"/>
                      <wp:wrapNone/>
                      <wp:docPr id="136" name="Frame13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5150" cy="175260"/>
                      <wp:effectExtent l="0" t="0" r="0" b="0"/>
                      <wp:wrapNone/>
                      <wp:docPr id="137" name="Frame137"/>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707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5"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19,849</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11,182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733" w:name="Tc_rkno0Qn0o0iQmVLmIGtWMQ_8_2"/>
      <w:bookmarkStart w:id="734" w:name="Tc_GapAb3J-VUWcLqE3Y2pL7g_8_0"/>
      <w:bookmarkStart w:id="735" w:name="Tc_h2xwGyZrkEijA5QBd0t7_w_7_0"/>
      <w:bookmarkStart w:id="736" w:name="Tc_0f4BpFd82ES7YzclqXAkig_6_0"/>
      <w:bookmarkStart w:id="737" w:name="Tc_nbPbhh38DkGsVH7Q1OsTLA_5_0"/>
      <w:bookmarkStart w:id="738" w:name="Tc_r4iFvmF8jkumHP9BsaAmfA_4_0"/>
      <w:bookmarkStart w:id="739" w:name="Tc_Gw_r48ZveEex5u5dyip_Qw_3_0"/>
      <w:bookmarkStart w:id="740" w:name="Tc_HgiTVKj5f0SYfVaVXX5nrg_2_2"/>
      <w:bookmarkStart w:id="741" w:name="Tc_GRHyWudaQ0O8DFw9XmpEHQ_2_0"/>
      <w:bookmarkStart w:id="742" w:name="Tc_DmAWXFIsJUSPKKokaOeWTg_1_2"/>
      <w:bookmarkStart w:id="743" w:name="Narr_AVT3AqEJGU2les7yfEi7mQ"/>
      <w:bookmarkEnd w:id="733"/>
      <w:bookmarkEnd w:id="734"/>
      <w:bookmarkEnd w:id="735"/>
      <w:bookmarkEnd w:id="736"/>
      <w:bookmarkEnd w:id="737"/>
      <w:bookmarkEnd w:id="738"/>
      <w:bookmarkEnd w:id="739"/>
      <w:bookmarkEnd w:id="740"/>
      <w:bookmarkEnd w:id="741"/>
      <w:bookmarkEnd w:id="742"/>
      <w:bookmarkEnd w:id="743"/>
      <w:r>
        <w:rPr>
          <w:rFonts w:ascii="Times New Roman;Times;serif" w:hAnsi="Times New Roman;Times;serif"/>
          <w:sz w:val="20"/>
        </w:rPr>
        <w:t>Trademark and patient list amortization expense was $316 and $278 for the three months ended March 31,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on amortizable intangible assets for each of the next five years and thereafter is as follows:</w:t>
      </w:r>
    </w:p>
    <w:p>
      <w:pPr>
        <w:pStyle w:val="TextBody"/>
        <w:bidi w:val="0"/>
        <w:spacing w:before="0" w:after="0"/>
        <w:ind w:left="0" w:right="0" w:hanging="0"/>
        <w:jc w:val="left"/>
        <w:rPr/>
      </w:pPr>
      <w:r>
        <w:rPr/>
        <w:t>​</w:t>
      </w:r>
    </w:p>
    <w:tbl>
      <w:tblPr>
        <w:tblW w:w="3002" w:type="dxa"/>
        <w:jc w:val="left"/>
        <w:tblInd w:w="0" w:type="dxa"/>
        <w:tblLayout w:type="fixed"/>
        <w:tblCellMar>
          <w:top w:w="0" w:type="dxa"/>
          <w:left w:w="0" w:type="dxa"/>
          <w:bottom w:w="0" w:type="dxa"/>
          <w:right w:w="0" w:type="dxa"/>
        </w:tblCellMar>
      </w:tblPr>
      <w:tblGrid>
        <w:gridCol w:w="1486"/>
        <w:gridCol w:w="346"/>
        <w:gridCol w:w="246"/>
        <w:gridCol w:w="924"/>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43610" cy="175260"/>
                      <wp:effectExtent l="0" t="0" r="0" b="0"/>
                      <wp:wrapNone/>
                      <wp:docPr id="138" name="Frame138"/>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6210" cy="175260"/>
                      <wp:effectExtent l="0" t="0" r="0" b="0"/>
                      <wp:wrapNone/>
                      <wp:docPr id="140" name="Frame14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86740" cy="175260"/>
                      <wp:effectExtent l="0" t="0" r="0" b="0"/>
                      <wp:wrapNone/>
                      <wp:docPr id="141" name="Frame14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6,601</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12,457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7.INCOME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interim tax provision is determined using an estimate of the annual effective tax rate, adjusted for discrete items, if any, which are taken into account in the relevant period. Each quarter, we update an estimate of the annual effective tax rate, and if the estimated tax rate changes, we make a cumulative adjustment.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recorded an income tax benefit of $1,611 in the three months ended March 31, 2026, compared to an income tax expense of $646 in the three months ended March 31, 2025. Our year-to-date effective tax was 80.5% for the three months ended March 31, 2026, compared to 29.2% for the three months ended March 31, 2025. The increase in the effective tax rate was primarily driven by higher discrete deductible expenses in the three months ended March 31, 2026 which were associated with our share awards.</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b/>
          <w:sz w:val="22"/>
        </w:rPr>
        <w:t>LINE O</w:t>
      </w:r>
      <w:r>
        <w:rPr>
          <w:rFonts w:ascii="Times New Roman;Times;serif" w:hAnsi="Times New Roman;Times;serif"/>
          <w:b/>
          <w:sz w:val="21"/>
        </w:rPr>
        <w:t>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March 31, 2026, we had a $15,000 available line of credit with a bank bearing interest at the one-month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2.00%. Our credit agreement with the bank includes a $13,000 term loan and provides for a $15,000 line of credit with the right to request an additional $10,000 line of credit. The credit agreement was amended on February 13, 2026 to extend the availability under the line of credit from March 2027 to March 2029, update certain financial covenants and definitions, and provide consent for the formation of a new subsidiary.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activity on the line of credit for the first three months of 2026. Activity on the line of credit for fiscal 2025 included advances of $14,903 and repayments of $14,903. No amounts were outstanding on the line of credit at March 31, 2026 and December 31, 2025.</w:t>
      </w:r>
    </w:p>
    <w:p>
      <w:pPr>
        <w:pStyle w:val="TextBody"/>
        <w:bidi w:val="0"/>
        <w:ind w:left="0" w:right="0" w:hanging="0"/>
        <w:jc w:val="left"/>
        <w:rPr>
          <w:rFonts w:ascii="Times New Roman;Times;serif" w:hAnsi="Times New Roman;Times;serif"/>
          <w:sz w:val="20"/>
        </w:rPr>
      </w:pPr>
      <w:bookmarkStart w:id="744" w:name="Tc_5MLWoldAI0O_8ievJ-nLwQ_9_5"/>
      <w:bookmarkStart w:id="745" w:name="Tc_ydrJsZnMbkSi4uqqmcUF9g_9_2"/>
      <w:bookmarkStart w:id="746" w:name="Tc_mnt0w8fVO0SBK3k-bMzijQ_9_0"/>
      <w:bookmarkStart w:id="747" w:name="Tc_cP2WVd6DfUSXHHs40REiyw_8_0"/>
      <w:bookmarkStart w:id="748" w:name="Tc_CSQfgAHKZkWj5239yuvkDg_7_0"/>
      <w:bookmarkStart w:id="749" w:name="Tc_oyM5DQ97O0K0wHxJpQhLMg_6_0"/>
      <w:bookmarkStart w:id="750" w:name="Tc_FRmLbx1K8UqY9sn1tRwIEQ_5_0"/>
      <w:bookmarkStart w:id="751" w:name="Tc_lxvU5X-jc0iZOGdnM8hCVg_4_5"/>
      <w:bookmarkStart w:id="752" w:name="Tc_ftI0LINR0EqBYJKwmCFDrg_4_2"/>
      <w:bookmarkStart w:id="753" w:name="Tc_N1Cd6OQTWUWttwlvPwrXdw_4_0"/>
      <w:bookmarkStart w:id="754" w:name="Tc_DkWBul0tFUKGXYmOg-k_bA_3_2"/>
      <w:bookmarkStart w:id="755" w:name="Tc_au6HtX8fJEWpk3vEEvryqQ_2_5"/>
      <w:bookmarkStart w:id="756" w:name="Tc_rMWfkbyQS0mjHS0rmfWOZg_2_2"/>
      <w:bookmarkStart w:id="757" w:name="Tc_HDwfaVf3rkSL2W3N06SoWg_1_2"/>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r>
        <w:rPr>
          <w:rFonts w:ascii="Times New Roman;Times;serif" w:hAnsi="Times New Roman;Times;serif"/>
          <w:b/>
          <w:sz w:val="20"/>
        </w:rPr>
        <w:t>9.</w:t>
      </w:r>
      <w:r>
        <w:rPr>
          <w:rFonts w:ascii="Times New Roman;Times;serif" w:hAnsi="Times New Roman;Times;serif"/>
          <w:b/>
          <w:sz w:val="21"/>
        </w:rPr>
        <w:t>LONG-TERM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debt consisted of the following:</w:t>
      </w:r>
    </w:p>
    <w:p>
      <w:pPr>
        <w:pStyle w:val="TextBody"/>
        <w:bidi w:val="0"/>
        <w:spacing w:before="0" w:after="0"/>
        <w:ind w:left="0" w:right="0" w:hanging="0"/>
        <w:jc w:val="left"/>
        <w:rPr/>
      </w:pPr>
      <w:r>
        <w:rPr/>
        <w:t>​</w:t>
      </w:r>
    </w:p>
    <w:tbl>
      <w:tblPr>
        <w:tblW w:w="9515" w:type="dxa"/>
        <w:jc w:val="left"/>
        <w:tblInd w:w="0" w:type="dxa"/>
        <w:tblLayout w:type="fixed"/>
        <w:tblCellMar>
          <w:top w:w="0" w:type="dxa"/>
          <w:left w:w="0" w:type="dxa"/>
          <w:bottom w:w="0" w:type="dxa"/>
          <w:right w:w="0" w:type="dxa"/>
        </w:tblCellMar>
      </w:tblPr>
      <w:tblGrid>
        <w:gridCol w:w="6016"/>
        <w:gridCol w:w="346"/>
        <w:gridCol w:w="299"/>
        <w:gridCol w:w="962"/>
        <w:gridCol w:w="346"/>
        <w:gridCol w:w="324"/>
        <w:gridCol w:w="1222"/>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820160" cy="175260"/>
                      <wp:effectExtent l="0" t="0" r="0" b="0"/>
                      <wp:wrapNone/>
                      <wp:docPr id="142" name="Frame142"/>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9865" cy="175260"/>
                      <wp:effectExtent l="0" t="0" r="0" b="0"/>
                      <wp:wrapNone/>
                      <wp:docPr id="144" name="Frame14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10870" cy="175260"/>
                      <wp:effectExtent l="0" t="0" r="0" b="0"/>
                      <wp:wrapNone/>
                      <wp:docPr id="145" name="Frame14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5740" cy="175260"/>
                      <wp:effectExtent l="0" t="0" r="0" b="0"/>
                      <wp:wrapNone/>
                      <wp:docPr id="147" name="Frame14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75970" cy="175260"/>
                      <wp:effectExtent l="0" t="0" r="0" b="0"/>
                      <wp:wrapNone/>
                      <wp:docPr id="148" name="Frame148"/>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951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1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9,286</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notes payable</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 to former dentist shareholders for the redemption of shares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11,506</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9,611</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10,085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bookmarkStart w:id="758" w:name="Tc_UhEaP7W8zEWkV659Y9ofNA_8_2"/>
      <w:bookmarkStart w:id="759" w:name="Tc_GHtHiwyzakqBrmf8oTALHw_8_0"/>
      <w:bookmarkStart w:id="760" w:name="Tc_pAcmCO1qXE62yjJgJK-C1w_7_0"/>
      <w:bookmarkStart w:id="761" w:name="Tc_beKSCahx7kaGJESgWRqySw_6_3"/>
      <w:bookmarkStart w:id="762" w:name="Tc_EDN4N-o6vUy-pna--Kbxcg_6_0"/>
      <w:bookmarkStart w:id="763" w:name="Tc_5uB0Dq3fZU-r6fMfMVv_zw_5_0"/>
      <w:bookmarkStart w:id="764" w:name="Tc_Q3TPI7DMMUSahI9yODRd5Q_4_0"/>
      <w:bookmarkStart w:id="765" w:name="Tc_t8QSyT08K0aseQbcYjKlgg_3_0"/>
      <w:bookmarkStart w:id="766" w:name="Tc_oH6IXOqyqkWCxM58JuE2nA_2_2"/>
      <w:bookmarkStart w:id="767" w:name="Tc_l5PMr4tAN0qR6T6Bg3OG-A_2_0"/>
      <w:bookmarkStart w:id="768" w:name="Tc_s6RzJLrze0uEOKSR5v1XFQ_1_2"/>
      <w:bookmarkEnd w:id="758"/>
      <w:bookmarkEnd w:id="759"/>
      <w:bookmarkEnd w:id="760"/>
      <w:bookmarkEnd w:id="761"/>
      <w:bookmarkEnd w:id="762"/>
      <w:bookmarkEnd w:id="763"/>
      <w:bookmarkEnd w:id="764"/>
      <w:bookmarkEnd w:id="765"/>
      <w:bookmarkEnd w:id="766"/>
      <w:bookmarkEnd w:id="767"/>
      <w:bookmarkEnd w:id="768"/>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Scheduled principal payments on long-term debt at March 31, 2026, are summarized as follows:</w:t>
      </w:r>
    </w:p>
    <w:p>
      <w:pPr>
        <w:pStyle w:val="TextBody"/>
        <w:bidi w:val="0"/>
        <w:spacing w:before="0" w:after="0"/>
        <w:ind w:left="0" w:right="0" w:hanging="0"/>
        <w:jc w:val="left"/>
        <w:rPr/>
      </w:pPr>
      <w:r>
        <w:rPr/>
        <w:t>​</w:t>
      </w:r>
    </w:p>
    <w:tbl>
      <w:tblPr>
        <w:tblW w:w="2765" w:type="dxa"/>
        <w:jc w:val="left"/>
        <w:tblInd w:w="0" w:type="dxa"/>
        <w:tblLayout w:type="fixed"/>
        <w:tblCellMar>
          <w:top w:w="0" w:type="dxa"/>
          <w:left w:w="0" w:type="dxa"/>
          <w:bottom w:w="0" w:type="dxa"/>
          <w:right w:w="0" w:type="dxa"/>
        </w:tblCellMar>
      </w:tblPr>
      <w:tblGrid>
        <w:gridCol w:w="1486"/>
        <w:gridCol w:w="109"/>
        <w:gridCol w:w="245"/>
        <w:gridCol w:w="925"/>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43610" cy="175260"/>
                      <wp:effectExtent l="0" t="0" r="0" b="0"/>
                      <wp:wrapNone/>
                      <wp:docPr id="149" name="Frame149"/>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5575" cy="175260"/>
                      <wp:effectExtent l="0" t="0" r="0" b="0"/>
                      <wp:wrapNone/>
                      <wp:docPr id="151" name="Frame15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87375" cy="175260"/>
                      <wp:effectExtent l="0" t="0" r="0" b="0"/>
                      <wp:wrapNone/>
                      <wp:docPr id="152" name="Frame152"/>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11,506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Bank 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maintains a $13,000 term loan that matures in March 2029 and bears interest at a variable rate equal to one-month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2.10%. The loan requires monthly principal payments of $155, with any remaining principal due at maturity, and is secured by all business assets of the Company. The agreement requires, among other things, that we comply with a minimum fixed charge coverage ratio, a total cash flow leverage ratio, and restriction on individual business combinations in excess of specified limits, as defined in the agreement. The Company was in compliance with all debt covenants as of March 31, 2026 and December 31, 2025. Interest expense related to the bank term loan totaled approximately $136 and $200 for the three months ended March 31, 2026 and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Subordinated Notes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outstanding subordinated notes payable with principal due at maturity and interest payable quarterly through October 1, 2037. Interest on the notes is equal to the greater of (i) 14% of the principal balance, (ii) an amount determined based on a formula using average dentist compensation, or (iii) a formula based on total revenue. The effective interest rate during the three months ended March 31, 2026 was 24.5%. Of the total subordinated notes payable, $2,012 is payable to shareholders and two related parties. These notes are secured by all business assets of the Company and are subordinated to the Company’s bank term loan and line of credit. </w:t>
      </w:r>
      <w:r>
        <w:rPr>
          <w:rFonts w:ascii="TimesNewRoman" w:hAnsi="TimesNewRoman"/>
          <w:sz w:val="20"/>
        </w:rPr>
        <w:t>The notes are also subject to significant prepayment restrictions; prepayment generally requires lender approval, except in limited circumstances involving the death of certain holders. The purchase agreement governing these notes also contains change-of-control provisions.</w:t>
      </w:r>
      <w:r>
        <w:rPr>
          <w:rFonts w:ascii="Times New Roman;Times;serif" w:hAnsi="Times New Roman;Times;serif"/>
          <w:sz w:val="20"/>
        </w:rPr>
        <w:t xml:space="preserve"> Interest expense related to the subordinated debt agreements was approximately $131 and $137 for the three months ended March 31, 2026 and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Notes Payable – Former Dentist Shareholder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issued notes payable to former dentist shareholders in connection with the redemption of shares occurring prior to the Company’s initial public offering. The notes require principal and interest payments in 60 equal monthly installments. Interest is charged at the lesser of (i) 10% or (ii) 1% less than the prime rate published in </w:t>
      </w:r>
      <w:r>
        <w:rPr>
          <w:rFonts w:ascii="Times New Roman;Times;serif" w:hAnsi="Times New Roman;Times;serif"/>
          <w:i/>
          <w:sz w:val="20"/>
        </w:rPr>
        <w:t>The Wall Street Journal</w:t>
      </w:r>
      <w:r>
        <w:rPr>
          <w:rFonts w:ascii="Times New Roman;Times;serif" w:hAnsi="Times New Roman;Times;serif"/>
          <w:sz w:val="20"/>
        </w:rPr>
        <w:t> (Midwest Edition). Total principal payments made on these notes were $10 in the three months ended March 31, 2026. Interest expense related to notes payable to former dentist shareholders was approximately $1 and $2 for the three months ended March 31, 2026 and 2025,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10.DEFERRED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Park Dental Partners, Inc. and its affiliated dental practices have four deferred compensation plans. Only the Non-qualified Deferred Compensation Plan is still active, while balances in all other plans have been closed to new participation.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69" w:name="Narr_0icRKwNZakGnmrB9okx73g"/>
      <w:bookmarkStart w:id="770" w:name="Narr_0icRKwNZakGnmrB9okx73g"/>
      <w:bookmarkEnd w:id="770"/>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Deferred Compensation Plans: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Non-qualified Deferred Compensation Plan —</w:t>
      </w:r>
      <w:r>
        <w:rPr>
          <w:rFonts w:ascii="Times New Roman;Times;serif" w:hAnsi="Times New Roman;Times;serif"/>
          <w:sz w:val="20"/>
        </w:rPr>
        <w:t xml:space="preserve"> The non-qualified deferred compensation plan provides participants the opportunity to defer compensation on a pretax basis. Participants are immediately 100% vested in their voluntary deferred compensation contributions. Participant accounts are credited with deferred compensation contributions and earnings thereon, as defined. In addition, we may make discretionary credits to the compensation account of an active participant at any time. There were no discretionary credits deposited in the three months ended March 31, 2026. Benefit payments to participants are available upon termination of employment, disability, death, unforeseeable emergencies, a change-in-control event, as defined, or through a qualified in-service distribution with the option to receive payment in a lump sum distribution, or up to five annual installments.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March 31, 2026, the total deferred compensation liability related to the non-qualified plan was $22,742, of which $22,001 was presented as Deferred compensation and $741 as Payroll, benefits and short term deferred compensation. At December 31, 2025, the total deferred compensation liability related to the non-qualified plan was $22,992, of which $22,297 was presented as Deferred compensation and $695 as Payroll, benefits and short term deferred compensation.</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Compensation Plans — Inactive: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several deferred compensation plans which have been closed to new participants and service crediting which are described collectively as Deferred Compensation Plans — Inactive.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Professional Employee Compensation Plan (the ‘PEC Plan’) — The PEC Plan provided for a deferred compensation benefit to certain employees of affiliated dental practices in the event of separation from service. The PEC Plan was frozen as of December 31, 2022, and no expense was recognized for this plan since that date. The deferred compensation balance is paid over a period of five years from the date of separation. The maximum amount we will be required to pay under the PEC Plan in each year is capped at 2% of our annual adjusted gross revenue, as defined in the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Equity Accumulation Plan (the ‘Accumulation Plan’) — The Accumulation Plan provided for benefit payments to participants after termination of employment because of death, permanent disability or attainment of age 65. Alternatively, the vested value of the participant’s account is paid following termination of employment at or after age 55 with 20 years of service. The Accumulation Plan was closed to new participants and service crediting on March 1, 2008.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Phantom Equity Plan (‘Phantom Plan’) — The Phantom Plan provided certain clinical and nonclinical leaders with phantom equity awards. The plan provides for participants to receive benefits upon termination of employment, disability, death, a change-in-control event, as defined, or via a qualified in-service distribution election. The plan provides for annual installment payments over five years after separation of service, or upon in-service distribution election. The Phantom Plan was closed to new participants and service crediting or earnings in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March 31, 2026, and December 31, 2025, the total deferred compensation liability related to the phantom equity plan was $1,464 and $1,657, respectively. There was no deferred compensation expense under the agreement in the first three months in 2026 or fiscal 2025, and we do not anticipate any future compensation expense under the Phantom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balance of Deferred compensation – Inactive, which includes the PEC Plan, Accumulation Plan, and the Phantom Plan, was $45,569 at March 31, 2026, and $46,120 at December 31, 2025. The short-term portion has been included in Payroll, benefits, and short term deferred compensation and totaled $1,450 and $1,457 at March 31,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71" w:name="Tc_btCN8YYa5EG0Q8ohtQe43w_10_11"/>
      <w:bookmarkStart w:id="772" w:name="Tc_3l0-19fupEuefHk-x9s8bg_10_8"/>
      <w:bookmarkStart w:id="773" w:name="Tc_ytQfMWM7-U6XDiHZeEowVw_10_5"/>
      <w:bookmarkStart w:id="774" w:name="Tc_A4Oxx6kEQ02nXWXbIkLN4w_10_2"/>
      <w:bookmarkStart w:id="775" w:name="Tc_SIJ0figZSk6zQYl1RI28dw_10_0"/>
      <w:bookmarkStart w:id="776" w:name="Tc_tlHvMPpbZ0uHV6pKjfCD6A_9_0"/>
      <w:bookmarkStart w:id="777" w:name="Tc_X6ytRCZpCEKBKQef9uZkbg_8_11"/>
      <w:bookmarkStart w:id="778" w:name="Tc_ILZHbIbABUWkdX4nM_oNYA_8_8"/>
      <w:bookmarkStart w:id="779" w:name="Tc_-hECbTrnYkGu0OkuU0laWA_8_5"/>
      <w:bookmarkStart w:id="780" w:name="Tc_lgCOVjidA0iysUadzpr0OQ_8_2"/>
      <w:bookmarkStart w:id="781" w:name="Tc_FXqmpYPVuUuovUcxdEY23w_8_0"/>
      <w:bookmarkStart w:id="782" w:name="Tc_9g3INAdf0EyipdYUtbdCqQ_7_2"/>
      <w:bookmarkStart w:id="783" w:name="Tc_G5SPfV-MqESq_RLoz2WG6Q_6_11"/>
      <w:bookmarkStart w:id="784" w:name="Tc_C9wJYTHVQUWVeROM8GVV-g_6_8"/>
      <w:bookmarkStart w:id="785" w:name="Tc_50ro6yTPVUuAYdoi2hFQtw_6_5"/>
      <w:bookmarkStart w:id="786" w:name="Tc_b0mgtDt8WU2gI8EuQnQvvQ_6_2"/>
      <w:bookmarkStart w:id="787" w:name="Tc_eFiRgf7CdEurq0MP3Z6SmA_5_11"/>
      <w:bookmarkStart w:id="788" w:name="Tc_ebfbAb7TlU2C4ixRlIjo_Q_5_8"/>
      <w:bookmarkStart w:id="789" w:name="Tc_OzhWENvUM0a4sGAVzncTgw_5_5"/>
      <w:bookmarkStart w:id="790" w:name="Tc_V2d3T1WJZ0Sim0nhZwgQ5w_5_2"/>
      <w:bookmarkStart w:id="791" w:name="Tc_H4DPUy6Zn0aJ-RTD83DCCA_4_11"/>
      <w:bookmarkStart w:id="792" w:name="Tc_Uu3bVe31skaEua-I1R4lXA_4_5"/>
      <w:bookmarkStart w:id="793" w:name="Tc_YUfZYH31ZUuBji2QCVxe4w_4_2"/>
      <w:bookmarkStart w:id="794" w:name="Tc_LCb2zyqdSkKyjYWwzy0j1Q_3_2"/>
      <w:bookmarkStart w:id="795" w:name="Tc_dhhMGuOyo0ajBwjwe7fSIQ_2_2"/>
      <w:bookmarkStart w:id="796" w:name="Tc_7yuoEETAh0mGN5xkBEWduw_1_2"/>
      <w:bookmarkStart w:id="797" w:name="_4cb8a68f_db5d_45c6_86cc_46d46a026770"/>
      <w:bookmarkStart w:id="798" w:name="Tc_FLU_XOQ3QkW9I8hHhOF8RA_10_11"/>
      <w:bookmarkStart w:id="799" w:name="Tc_ZHOc-wTuBEy1l9rMK_rUMQ_10_8"/>
      <w:bookmarkStart w:id="800" w:name="Tc_pAZcVr2uqki6mLl4rz_5nQ_10_5"/>
      <w:bookmarkStart w:id="801" w:name="Tc_OAqMe-rCX0yQ93tO-mgS7g_10_2"/>
      <w:bookmarkStart w:id="802" w:name="Tc_69bFpCS63EeQKd3z3YHQGA_10_0"/>
      <w:bookmarkStart w:id="803" w:name="Tc_N0qTlQUF0UaOEB8EC2p0EA_9_0"/>
      <w:bookmarkStart w:id="804" w:name="Tc_UeV6ZO5a2kyWawU_oh8c1Q_8_11"/>
      <w:bookmarkStart w:id="805" w:name="Tc_zCzdTZ_Sb0O98yCWYB3xsg_8_8"/>
      <w:bookmarkStart w:id="806" w:name="Tc_r7LeBOZw9kGT-_TtqyE2ag_8_5"/>
      <w:bookmarkStart w:id="807" w:name="Tc_X4MZpLjBlESP80LuVXmHDA_8_2"/>
      <w:bookmarkStart w:id="808" w:name="Tc_7boFRMtVSEqbl84gaEKgYw_8_0"/>
      <w:bookmarkStart w:id="809" w:name="Tc_E6yuNyrN0UqAxP-U5N2H-A_7_2"/>
      <w:bookmarkStart w:id="810" w:name="Tc_B_owAdG1LkOpV7RAV9Aeuw_6_11"/>
      <w:bookmarkStart w:id="811" w:name="Tc_K7wydlTIIkOTSOOj-syT8g_6_8"/>
      <w:bookmarkStart w:id="812" w:name="Tc_PUiGDJWisUu--WqbkOPnjQ_6_5"/>
      <w:bookmarkStart w:id="813" w:name="Tc_E8wF1LCRqEidGbs4DpZtCw_6_2"/>
      <w:bookmarkStart w:id="814" w:name="Tc_elpG_IHhnUKKUIU8MYLSPg_5_11"/>
      <w:bookmarkStart w:id="815" w:name="Tc_waed7dXQskK_WN0gO-jMyw_5_8"/>
      <w:bookmarkStart w:id="816" w:name="Tc_fP6HME_tJUqMy9nCBujDPg_5_5"/>
      <w:bookmarkStart w:id="817" w:name="Tc_kSzoG_PVjUWD0vIMlifhnw_5_2"/>
      <w:bookmarkStart w:id="818" w:name="Tc_dmPzE86ghUejjOimiu520w_4_11"/>
      <w:bookmarkStart w:id="819" w:name="Tc_VSP8UbMaSk6suc6FJap9LA_4_5"/>
      <w:bookmarkStart w:id="820" w:name="Tc_n6XfT70UKEKn23SXFQz0fg_4_2"/>
      <w:bookmarkStart w:id="821" w:name="Tc_8A1pQOMeSEWaqzKVSS1EYg_3_2"/>
      <w:bookmarkStart w:id="822" w:name="Tc_BGAJfpOqrU6pROd6eauKlA_2_2"/>
      <w:bookmarkStart w:id="823" w:name="Tc_ABvqcKDhNkWVkiv6Lc0zCg_1_2"/>
      <w:bookmarkStart w:id="824" w:name="_2e83c467_0fd3_450d_b20f_b8e38de2303d"/>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sz w:val="20"/>
        </w:rPr>
        <w:t>and December 31, 2025, respectively. Payments made under the Deferred Compensation Plans – Inactive were $557 and $377, for the three months ended March 31, 2026 and 2025,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69"/>
        <w:gridCol w:w="346"/>
        <w:gridCol w:w="270"/>
        <w:gridCol w:w="871"/>
        <w:gridCol w:w="346"/>
        <w:gridCol w:w="299"/>
        <w:gridCol w:w="812"/>
        <w:gridCol w:w="346"/>
        <w:gridCol w:w="250"/>
        <w:gridCol w:w="678"/>
        <w:gridCol w:w="346"/>
        <w:gridCol w:w="350"/>
        <w:gridCol w:w="1322"/>
      </w:tblGrid>
      <w:tr>
        <w:trPr/>
        <w:tc>
          <w:tcPr>
            <w:tcW w:w="3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20315" cy="175260"/>
                      <wp:effectExtent l="0" t="0" r="0" b="0"/>
                      <wp:wrapNone/>
                      <wp:docPr id="153" name="Frame153"/>
                      <a:graphic xmlns:a="http://schemas.openxmlformats.org/drawingml/2006/main">
                        <a:graphicData uri="http://schemas.microsoft.com/office/word/2010/wordprocessingShape">
                          <wps:wsp>
                            <wps:cNvSpPr txBox="1"/>
                            <wps:spPr>
                              <a:xfrm>
                                <a:off x="0" y="0"/>
                                <a:ext cx="2520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1450" cy="175260"/>
                      <wp:effectExtent l="0" t="0" r="0" b="0"/>
                      <wp:wrapNone/>
                      <wp:docPr id="155" name="Frame15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53085" cy="175260"/>
                      <wp:effectExtent l="0" t="0" r="0" b="0"/>
                      <wp:wrapNone/>
                      <wp:docPr id="156" name="Frame1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9865" cy="175260"/>
                      <wp:effectExtent l="0" t="0" r="0" b="0"/>
                      <wp:wrapNone/>
                      <wp:docPr id="158" name="Frame15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15620" cy="175260"/>
                      <wp:effectExtent l="0" t="0" r="0" b="0"/>
                      <wp:wrapNone/>
                      <wp:docPr id="159" name="Frame159"/>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8750" cy="175260"/>
                      <wp:effectExtent l="0" t="0" r="0" b="0"/>
                      <wp:wrapNone/>
                      <wp:docPr id="161" name="Frame16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0530" cy="175260"/>
                      <wp:effectExtent l="0" t="0" r="0" b="0"/>
                      <wp:wrapNone/>
                      <wp:docPr id="162" name="Frame162"/>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2250" cy="175260"/>
                      <wp:effectExtent l="0" t="0" r="0" b="0"/>
                      <wp:wrapNone/>
                      <wp:docPr id="164" name="Frame16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39470" cy="175260"/>
                      <wp:effectExtent l="0" t="0" r="0" b="0"/>
                      <wp:wrapNone/>
                      <wp:docPr id="165" name="Frame165"/>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9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 Compensation – Inactive</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9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center"/>
              <w:rPr/>
            </w:pPr>
            <w:r>
              <w:rPr/>
              <w:t>​</w:t>
            </w:r>
          </w:p>
        </w:tc>
        <w:tc>
          <w:tcPr>
            <w:tcW w:w="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322" w:type="dxa"/>
            <w:tcBorders/>
            <w:vAlign w:val="center"/>
          </w:tcPr>
          <w:p>
            <w:pPr>
              <w:pStyle w:val="TableContents"/>
              <w:bidi w:val="0"/>
              <w:spacing w:before="0" w:after="0"/>
              <w:ind w:left="0" w:right="0" w:hanging="0"/>
              <w:jc w:val="center"/>
              <w:rPr/>
            </w:pPr>
            <w:r>
              <w:rPr/>
              <w:t>​</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Accumulation</w:t>
            </w:r>
          </w:p>
        </w:tc>
        <w:tc>
          <w:tcPr>
            <w:tcW w:w="346" w:type="dxa"/>
            <w:tcBorders/>
            <w:vAlign w:val="center"/>
          </w:tcPr>
          <w:p>
            <w:pPr>
              <w:pStyle w:val="TableContents"/>
              <w:bidi w:val="0"/>
              <w:spacing w:before="0" w:after="0"/>
              <w:ind w:left="0" w:right="0" w:hanging="0"/>
              <w:jc w:val="center"/>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Phantom</w:t>
            </w:r>
          </w:p>
        </w:tc>
        <w:tc>
          <w:tcPr>
            <w:tcW w:w="346" w:type="dxa"/>
            <w:tcBorders/>
            <w:vAlign w:val="center"/>
          </w:tcPr>
          <w:p>
            <w:pPr>
              <w:pStyle w:val="TableContents"/>
              <w:bidi w:val="0"/>
              <w:spacing w:before="0" w:after="0"/>
              <w:ind w:left="0" w:right="0" w:hanging="0"/>
              <w:jc w:val="center"/>
              <w:rPr/>
            </w:pPr>
            <w:r>
              <w:rPr/>
              <w:t>​</w:t>
            </w:r>
          </w:p>
        </w:tc>
        <w:tc>
          <w:tcPr>
            <w:tcW w:w="16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 – </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Plan</w:t>
            </w:r>
          </w:p>
        </w:tc>
        <w:tc>
          <w:tcPr>
            <w:tcW w:w="346" w:type="dxa"/>
            <w:tcBorders/>
            <w:vAlign w:val="center"/>
          </w:tcPr>
          <w:p>
            <w:pPr>
              <w:pStyle w:val="TableContents"/>
              <w:bidi w:val="0"/>
              <w:spacing w:before="0" w:after="0"/>
              <w:ind w:left="0" w:right="0" w:hanging="0"/>
              <w:jc w:val="center"/>
              <w:rPr/>
            </w:pPr>
            <w:r>
              <w:rPr/>
              <w:t>  ​ ​ ​</w:t>
            </w:r>
          </w:p>
        </w:tc>
        <w:tc>
          <w:tcPr>
            <w:tcW w:w="1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Inactive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9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43,220</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45,569</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short term deferred compensation</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47,019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69"/>
        <w:gridCol w:w="346"/>
        <w:gridCol w:w="270"/>
        <w:gridCol w:w="871"/>
        <w:gridCol w:w="346"/>
        <w:gridCol w:w="299"/>
        <w:gridCol w:w="812"/>
        <w:gridCol w:w="346"/>
        <w:gridCol w:w="250"/>
        <w:gridCol w:w="678"/>
        <w:gridCol w:w="346"/>
        <w:gridCol w:w="350"/>
        <w:gridCol w:w="1322"/>
      </w:tblGrid>
      <w:tr>
        <w:trPr/>
        <w:tc>
          <w:tcPr>
            <w:tcW w:w="3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20315" cy="175260"/>
                      <wp:effectExtent l="0" t="0" r="0" b="0"/>
                      <wp:wrapNone/>
                      <wp:docPr id="166" name="Frame166"/>
                      <a:graphic xmlns:a="http://schemas.openxmlformats.org/drawingml/2006/main">
                        <a:graphicData uri="http://schemas.microsoft.com/office/word/2010/wordprocessingShape">
                          <wps:wsp>
                            <wps:cNvSpPr txBox="1"/>
                            <wps:spPr>
                              <a:xfrm>
                                <a:off x="0" y="0"/>
                                <a:ext cx="2520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71450" cy="175260"/>
                      <wp:effectExtent l="0" t="0" r="0" b="0"/>
                      <wp:wrapNone/>
                      <wp:docPr id="168" name="Frame16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53085" cy="175260"/>
                      <wp:effectExtent l="0" t="0" r="0" b="0"/>
                      <wp:wrapNone/>
                      <wp:docPr id="169" name="Frame16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9865" cy="175260"/>
                      <wp:effectExtent l="0" t="0" r="0" b="0"/>
                      <wp:wrapNone/>
                      <wp:docPr id="171" name="Frame17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15620" cy="175260"/>
                      <wp:effectExtent l="0" t="0" r="0" b="0"/>
                      <wp:wrapNone/>
                      <wp:docPr id="172" name="Frame17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8750" cy="175260"/>
                      <wp:effectExtent l="0" t="0" r="0" b="0"/>
                      <wp:wrapNone/>
                      <wp:docPr id="174" name="Frame17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0530" cy="175260"/>
                      <wp:effectExtent l="0" t="0" r="0" b="0"/>
                      <wp:wrapNone/>
                      <wp:docPr id="175" name="Frame175"/>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2250" cy="175260"/>
                      <wp:effectExtent l="0" t="0" r="0" b="0"/>
                      <wp:wrapNone/>
                      <wp:docPr id="177" name="Frame17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39470" cy="175260"/>
                      <wp:effectExtent l="0" t="0" r="0" b="0"/>
                      <wp:wrapNone/>
                      <wp:docPr id="178" name="Frame178"/>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9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 Compensation – Inactive</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9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center"/>
              <w:rPr/>
            </w:pPr>
            <w:r>
              <w:rPr/>
              <w:t>​</w:t>
            </w:r>
          </w:p>
        </w:tc>
        <w:tc>
          <w:tcPr>
            <w:tcW w:w="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322" w:type="dxa"/>
            <w:tcBorders/>
            <w:vAlign w:val="center"/>
          </w:tcPr>
          <w:p>
            <w:pPr>
              <w:pStyle w:val="TableContents"/>
              <w:bidi w:val="0"/>
              <w:spacing w:before="0" w:after="0"/>
              <w:ind w:left="0" w:right="0" w:hanging="0"/>
              <w:jc w:val="center"/>
              <w:rPr/>
            </w:pPr>
            <w:r>
              <w:rPr/>
              <w:t>​</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Accumulation</w:t>
            </w:r>
          </w:p>
        </w:tc>
        <w:tc>
          <w:tcPr>
            <w:tcW w:w="346" w:type="dxa"/>
            <w:tcBorders/>
            <w:vAlign w:val="center"/>
          </w:tcPr>
          <w:p>
            <w:pPr>
              <w:pStyle w:val="TableContents"/>
              <w:bidi w:val="0"/>
              <w:spacing w:before="0" w:after="0"/>
              <w:ind w:left="0" w:right="0" w:hanging="0"/>
              <w:jc w:val="center"/>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Phantom</w:t>
            </w:r>
          </w:p>
        </w:tc>
        <w:tc>
          <w:tcPr>
            <w:tcW w:w="346" w:type="dxa"/>
            <w:tcBorders/>
            <w:vAlign w:val="center"/>
          </w:tcPr>
          <w:p>
            <w:pPr>
              <w:pStyle w:val="TableContents"/>
              <w:bidi w:val="0"/>
              <w:spacing w:before="0" w:after="0"/>
              <w:ind w:left="0" w:right="0" w:hanging="0"/>
              <w:jc w:val="center"/>
              <w:rPr/>
            </w:pPr>
            <w:r>
              <w:rPr/>
              <w:t>​</w:t>
            </w:r>
          </w:p>
        </w:tc>
        <w:tc>
          <w:tcPr>
            <w:tcW w:w="16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 – </w:t>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Plan</w:t>
            </w:r>
          </w:p>
        </w:tc>
        <w:tc>
          <w:tcPr>
            <w:tcW w:w="346" w:type="dxa"/>
            <w:tcBorders/>
            <w:vAlign w:val="center"/>
          </w:tcPr>
          <w:p>
            <w:pPr>
              <w:pStyle w:val="TableContents"/>
              <w:bidi w:val="0"/>
              <w:spacing w:before="0" w:after="0"/>
              <w:ind w:left="0" w:right="0" w:hanging="0"/>
              <w:jc w:val="center"/>
              <w:rPr/>
            </w:pPr>
            <w:r>
              <w:rPr/>
              <w:t>  ​ ​ ​</w:t>
            </w:r>
          </w:p>
        </w:tc>
        <w:tc>
          <w:tcPr>
            <w:tcW w:w="1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Inactive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9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46,120</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short term deferred compensation</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47,577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bookmarkStart w:id="825" w:name="Tc_rKLqKg2kfkeXqy7FKnVA-g_5_0"/>
      <w:bookmarkStart w:id="826" w:name="Tc_VxkpXycxWkqKphZR1nad3A_4_4"/>
      <w:bookmarkStart w:id="827" w:name="Tc_xCAI5EU8i0aWOlqZQenX4g_4_2"/>
      <w:bookmarkStart w:id="828" w:name="Tc_uuLjopWmdUi27EAA3jJY_Q_3_2"/>
      <w:bookmarkStart w:id="829" w:name="Tc_npUV1lrZAEadefmYvflEiQ_2_2"/>
      <w:bookmarkEnd w:id="825"/>
      <w:bookmarkEnd w:id="826"/>
      <w:bookmarkEnd w:id="827"/>
      <w:bookmarkEnd w:id="828"/>
      <w:bookmarkEnd w:id="829"/>
      <w:r>
        <w:rPr>
          <w:rFonts w:ascii="Times New Roman;Times;serif" w:hAnsi="Times New Roman;Times;serif"/>
          <w:b/>
          <w:sz w:val="20"/>
        </w:rPr>
        <w:t>11.SHAREHOLDERS’ EQUITY (DEFICIT)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Park Dental Partners, Inc. shares are comprised of 100 million Common shares, and 5 million Preferred shares. All stock has a par value of $0.0001 per share. As of March 31, 2026, only Common shares are outstanding. Each holder of common stock and certain restricted shares is entitled to one vote for each share of Common stock and restricted share held.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Common shares outstanding:</w:t>
      </w:r>
    </w:p>
    <w:p>
      <w:pPr>
        <w:pStyle w:val="TextBody"/>
        <w:bidi w:val="0"/>
        <w:spacing w:before="0" w:after="0"/>
        <w:ind w:left="0" w:right="0" w:hanging="0"/>
        <w:jc w:val="left"/>
        <w:rPr/>
      </w:pPr>
      <w:r>
        <w:rPr/>
        <w:t>​</w:t>
      </w:r>
    </w:p>
    <w:tbl>
      <w:tblPr>
        <w:tblW w:w="6395" w:type="dxa"/>
        <w:jc w:val="left"/>
        <w:tblInd w:w="0" w:type="dxa"/>
        <w:tblLayout w:type="fixed"/>
        <w:tblCellMar>
          <w:top w:w="0" w:type="dxa"/>
          <w:left w:w="0" w:type="dxa"/>
          <w:bottom w:w="0" w:type="dxa"/>
          <w:right w:w="0" w:type="dxa"/>
        </w:tblCellMar>
      </w:tblPr>
      <w:tblGrid>
        <w:gridCol w:w="2896"/>
        <w:gridCol w:w="346"/>
        <w:gridCol w:w="1261"/>
        <w:gridCol w:w="346"/>
        <w:gridCol w:w="640"/>
        <w:gridCol w:w="9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38960" cy="175260"/>
                      <wp:effectExtent l="0" t="0" r="0" b="0"/>
                      <wp:wrapNone/>
                      <wp:docPr id="179" name="Frame17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00735" cy="175260"/>
                      <wp:effectExtent l="0" t="0" r="0" b="0"/>
                      <wp:wrapNone/>
                      <wp:docPr id="181" name="Frame18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06400" cy="175260"/>
                      <wp:effectExtent l="0" t="0" r="0" b="0"/>
                      <wp:wrapNone/>
                      <wp:docPr id="183" name="Frame18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75310" cy="175260"/>
                      <wp:effectExtent l="0" t="0" r="0" b="0"/>
                      <wp:wrapNone/>
                      <wp:docPr id="184" name="Frame18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15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shares</w:t>
            </w:r>
          </w:p>
        </w:tc>
      </w:tr>
      <w:tr>
        <w:trPr/>
        <w:tc>
          <w:tcPr>
            <w:tcW w:w="2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31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unrestricted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4,515,054</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4,247,018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Restricted shares (“RSs”) — </w:t>
      </w:r>
      <w:r>
        <w:rPr>
          <w:rFonts w:ascii="Times New Roman;Times;serif" w:hAnsi="Times New Roman;Times;serif"/>
          <w:sz w:val="20"/>
        </w:rPr>
        <w:t>Restricted Park Dental Partners, Inc. shares issued prior to our initial public offering (“IPO”) vested 25% upon the closing of our public offering on December 4, 2025, with the remaining awards vesting at the rate of 6.25% each calendar quarter over the subsequent 12 quarters. In the event of a change in control, the restricted shares shall vest immediately upon the change in control. As it relates to awards issued prior to the IPO, the Company treats each vesting tranche as a separate award, and recognizes compensation cost for each tranche independently over its specific vesting period. This approach results in accelerated compensation expense recognition, as earlier-vesting tranches are recognized more quickly than later-vesting tranches.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Subsequent to our IPO we have changed our accounting policy regarding the vesting of restricted share awards. As a result of this policy change, share based compensation related to those awards granted after our IPO is recognized using the straight-line recognition method. We believe this method is preferable, as it results in the Company recognizing the total grant-date fair value of the award ratably as compensation expense over the vesting period. Restricted share awards granted subsequent to the IPO vest at the rate of 25% each year over four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30" w:name="Tc_vUulPv_WrE-N_niSE0icCg_9_4"/>
      <w:bookmarkStart w:id="831" w:name="Tc_xNVThHlIa0qodtEpzsGfNw_9_0"/>
      <w:bookmarkStart w:id="832" w:name="Tc_8L4XmZFwcEezk20SlVMGnA_8_0"/>
      <w:bookmarkStart w:id="833" w:name="Tc_MI06SD40HUex4dD8H04hLA_7_0"/>
      <w:bookmarkStart w:id="834" w:name="Tc_crMB7QyKzkyKXIda_srhPQ_6_0"/>
      <w:bookmarkStart w:id="835" w:name="Tc_6VEiJZd8VkutvJSSbIEAjg_5_0"/>
      <w:bookmarkStart w:id="836" w:name="Tc_9DohvyJvqE2YDOicHipl6A_4_2"/>
      <w:bookmarkStart w:id="837" w:name="Tc_k5ZHIWzNlEyWDErV8lOaWg_3_4"/>
      <w:bookmarkStart w:id="838" w:name="Tc_zTDloM4rJ0iBGd57EdAa0Q_3_2"/>
      <w:bookmarkStart w:id="839" w:name="Tc_y24G_t00SkKTLQD_D3DmGw_2_4"/>
      <w:bookmarkStart w:id="840" w:name="Tc_Z_ZYig4b70aIKJXyk_4BmA_2_2"/>
      <w:bookmarkStart w:id="841" w:name="Tc_ojCEgtvQn0SAR2cSuhuZow_1_4"/>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sz w:val="20"/>
        </w:rPr>
        <w:t>The following table summarizes RS activity:</w:t>
      </w:r>
    </w:p>
    <w:p>
      <w:pPr>
        <w:pStyle w:val="TextBody"/>
        <w:bidi w:val="0"/>
        <w:spacing w:before="0" w:after="0"/>
        <w:ind w:left="0" w:right="0" w:hanging="0"/>
        <w:jc w:val="left"/>
        <w:rPr/>
      </w:pPr>
      <w:r>
        <w:rPr/>
        <w:t>​</w:t>
      </w:r>
    </w:p>
    <w:tbl>
      <w:tblPr>
        <w:tblW w:w="6000" w:type="dxa"/>
        <w:jc w:val="left"/>
        <w:tblInd w:w="0" w:type="dxa"/>
        <w:tblLayout w:type="fixed"/>
        <w:tblCellMar>
          <w:top w:w="0" w:type="dxa"/>
          <w:left w:w="0" w:type="dxa"/>
          <w:bottom w:w="0" w:type="dxa"/>
          <w:right w:w="0" w:type="dxa"/>
        </w:tblCellMar>
      </w:tblPr>
      <w:tblGrid>
        <w:gridCol w:w="3061"/>
        <w:gridCol w:w="146"/>
        <w:gridCol w:w="1126"/>
        <w:gridCol w:w="346"/>
        <w:gridCol w:w="335"/>
        <w:gridCol w:w="98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943735" cy="175260"/>
                      <wp:effectExtent l="0" t="0" r="0" b="0"/>
                      <wp:wrapNone/>
                      <wp:docPr id="185" name="Frame185"/>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2710" cy="175260"/>
                      <wp:effectExtent l="0" t="0" r="0" b="0"/>
                      <wp:wrapNone/>
                      <wp:docPr id="186" name="Frame1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15010" cy="175260"/>
                      <wp:effectExtent l="0" t="0" r="0" b="0"/>
                      <wp:wrapNone/>
                      <wp:docPr id="187" name="Frame18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2725" cy="175260"/>
                      <wp:effectExtent l="0" t="0" r="0" b="0"/>
                      <wp:wrapNone/>
                      <wp:docPr id="189" name="Frame1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26110" cy="175260"/>
                      <wp:effectExtent l="0" t="0" r="0" b="0"/>
                      <wp:wrapNone/>
                      <wp:docPr id="190" name="Frame190"/>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0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0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RSs</w:t>
            </w:r>
          </w:p>
        </w:tc>
        <w:tc>
          <w:tcPr>
            <w:tcW w:w="346" w:type="dxa"/>
            <w:tcBorders/>
            <w:vAlign w:val="center"/>
          </w:tcPr>
          <w:p>
            <w:pPr>
              <w:pStyle w:val="TableContents"/>
              <w:bidi w:val="0"/>
              <w:spacing w:before="0" w:after="0"/>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0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RSs at December 31, 2025</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RSs granted</w:t>
            </w:r>
          </w:p>
        </w:tc>
        <w:tc>
          <w:tcPr>
            <w:tcW w:w="1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RSs vested</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RSs forfeited</w:t>
            </w:r>
          </w:p>
        </w:tc>
        <w:tc>
          <w:tcPr>
            <w:tcW w:w="1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RSs at March 31, 2026</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7.08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Unrecognized compensation expense related to outstanding RSs at March 31, 2026 was approximately $11,504.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Unrestricted Stock Grant —</w:t>
      </w:r>
      <w:r>
        <w:rPr>
          <w:rFonts w:ascii="Times New Roman;Times;serif" w:hAnsi="Times New Roman;Times;serif"/>
          <w:sz w:val="20"/>
        </w:rPr>
        <w:t>There were no unrestricted stock grants made during the three months ended March 31,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Employee Stock Purchase Plan (“ESPP”)</w:t>
      </w:r>
      <w:r>
        <w:rPr>
          <w:rFonts w:ascii="Times New Roman;Times;serif" w:hAnsi="Times New Roman;Times;serif"/>
          <w:sz w:val="20"/>
        </w:rPr>
        <w:t xml:space="preserve"> — The Company maintains an Employee Stock Purchase Plan that allows eligible employees to purchase shares of common stock at a discount through payroll deductions over offering periods. The ESPP was approved in 2025, and up to 250,000 shares of common stock are reserved for issuance under the plan. No shares were issued under the ESPP during the three months ended March 31, 2026.</w:t>
      </w:r>
    </w:p>
    <w:p>
      <w:pPr>
        <w:pStyle w:val="TextBody"/>
        <w:bidi w:val="0"/>
        <w:ind w:left="0" w:right="0" w:hanging="0"/>
        <w:jc w:val="left"/>
        <w:rPr>
          <w:rFonts w:ascii="Times New Roman;Times;serif" w:hAnsi="Times New Roman;Times;serif"/>
          <w:b/>
          <w:sz w:val="20"/>
        </w:rPr>
      </w:pPr>
      <w:bookmarkStart w:id="842" w:name="Tc_yQE3nJ7N7U6DMv-hMZGLKw_14_6"/>
      <w:bookmarkStart w:id="843" w:name="Tc_jnd-Fho4B0S7PJR9n802ig_14_0"/>
      <w:bookmarkStart w:id="844" w:name="Tc_YDVH6rJENUyNoX1UaMwOsg_13_0"/>
      <w:bookmarkStart w:id="845" w:name="Tc_CjsQ4kwEdkyOQ2lGNe3nlw_12_0"/>
      <w:bookmarkStart w:id="846" w:name="Tc_Q-qcUshtCk2AEPMyu4j1rg_11_6"/>
      <w:bookmarkStart w:id="847" w:name="Tc_tijga6KWqUuIVsTiahFrLg_11_3"/>
      <w:bookmarkStart w:id="848" w:name="Tc_PYWC5FdZTky79BzAoO097g_11_0"/>
      <w:bookmarkStart w:id="849" w:name="Tc_V4HnZQP650S8lT7I1LbrBQ_10_0"/>
      <w:bookmarkStart w:id="850" w:name="Tc_3G7ynXsIqkiDJlzsvoIQ_w_9_5"/>
      <w:bookmarkStart w:id="851" w:name="Tc_5Dh2yeqwuEWeCkpNNy8zhw_9_2"/>
      <w:bookmarkStart w:id="852" w:name="Tc_KqJ2PNarkkGouSS-RiI_fw_9_0"/>
      <w:bookmarkStart w:id="853" w:name="Tc_glbHO96EM0K8RhvHi6ZOrQ_8_5"/>
      <w:bookmarkStart w:id="854" w:name="Tc_ve56y3ICTE6o9h0FnGBeTw_8_2"/>
      <w:bookmarkStart w:id="855" w:name="Tc_QqjdhyfF3Uq1-dXr8mUogw_8_0"/>
      <w:bookmarkStart w:id="856" w:name="Tc_YaavYP9rAEm797YU9bQTsw_7_0"/>
      <w:bookmarkStart w:id="857" w:name="Tc_r7pfT99C1Ea2sdgjgNAgcQ_6_5"/>
      <w:bookmarkStart w:id="858" w:name="Tc_sISnU4yOY0SQ2zP048JipA_6_2"/>
      <w:bookmarkStart w:id="859" w:name="Tc_1mT47Fb5NEqIfmYgZPHODQ_6_0"/>
      <w:bookmarkStart w:id="860" w:name="Tc_SAyYUfidbEuCAR_toI6Ifw_5_2"/>
      <w:bookmarkStart w:id="861" w:name="Tc_h_J-tcZrdEyhkL7DES-B_w_4_2"/>
      <w:bookmarkStart w:id="862" w:name="Tc_hrkpQaTOAECVdHUKzMqrlA_3_5"/>
      <w:bookmarkStart w:id="863" w:name="Tc_Qa1poeDkOU6y5SkDYxz5bQ_3_2"/>
      <w:bookmarkStart w:id="864" w:name="Tc_aVE4dgPPF0CgzfvLEKb6wQ_2_2"/>
      <w:bookmarkStart w:id="865" w:name="Tc_fiGkN9Fk1kmUGyNlJTxO8Q_1_2"/>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Times New Roman;Times;serif" w:hAnsi="Times New Roman;Times;serif"/>
          <w:b/>
          <w:sz w:val="20"/>
        </w:rPr>
        <w:t>12.EARNINGS PER COMMON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attributable to common shareholders</w:t>
      </w:r>
    </w:p>
    <w:p>
      <w:pPr>
        <w:pStyle w:val="TextBody"/>
        <w:bidi w:val="0"/>
        <w:spacing w:before="0" w:after="0"/>
        <w:ind w:left="0" w:right="0" w:hanging="0"/>
        <w:jc w:val="left"/>
        <w:rPr/>
      </w:pPr>
      <w:r>
        <w:rPr/>
        <w:t>​</w:t>
      </w:r>
    </w:p>
    <w:tbl>
      <w:tblPr>
        <w:tblW w:w="8671" w:type="dxa"/>
        <w:jc w:val="left"/>
        <w:tblInd w:w="0" w:type="dxa"/>
        <w:tblLayout w:type="fixed"/>
        <w:tblCellMar>
          <w:top w:w="0" w:type="dxa"/>
          <w:left w:w="0" w:type="dxa"/>
          <w:bottom w:w="0" w:type="dxa"/>
          <w:right w:w="0" w:type="dxa"/>
        </w:tblCellMar>
      </w:tblPr>
      <w:tblGrid>
        <w:gridCol w:w="6046"/>
        <w:gridCol w:w="346"/>
        <w:gridCol w:w="244"/>
        <w:gridCol w:w="678"/>
        <w:gridCol w:w="400"/>
        <w:gridCol w:w="244"/>
        <w:gridCol w:w="713"/>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839210" cy="175260"/>
                      <wp:effectExtent l="0" t="0" r="0" b="0"/>
                      <wp:wrapNone/>
                      <wp:docPr id="191" name="Frame191"/>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4940" cy="175260"/>
                      <wp:effectExtent l="0" t="0" r="0" b="0"/>
                      <wp:wrapNone/>
                      <wp:docPr id="193" name="Frame19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0530" cy="175260"/>
                      <wp:effectExtent l="0" t="0" r="0" b="0"/>
                      <wp:wrapNone/>
                      <wp:docPr id="194" name="Frame194"/>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4000" cy="175260"/>
                      <wp:effectExtent l="0" t="0" r="0" b="0"/>
                      <wp:wrapNone/>
                      <wp:docPr id="195" name="Frame19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4940" cy="175260"/>
                      <wp:effectExtent l="0" t="0" r="0" b="0"/>
                      <wp:wrapNone/>
                      <wp:docPr id="196" name="Frame19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52755" cy="175260"/>
                      <wp:effectExtent l="0" t="0" r="0" b="0"/>
                      <wp:wrapNone/>
                      <wp:docPr id="197" name="Frame19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0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0" w:type="dxa"/>
            <w:tcBorders/>
            <w:vAlign w:val="center"/>
          </w:tcPr>
          <w:p>
            <w:pPr>
              <w:pStyle w:val="TableContents"/>
              <w:bidi w:val="0"/>
              <w:spacing w:before="0" w:after="0"/>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67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w:t>
            </w:r>
          </w:p>
        </w:tc>
      </w:tr>
      <w:tr>
        <w:trPr/>
        <w:tc>
          <w:tcPr>
            <w:tcW w:w="60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amounts)</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available to PARK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 attributable to PARK common shareholders: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pPr>
            <w:r>
              <w:rPr/>
              <w:t>  ​</w:t>
            </w:r>
          </w:p>
        </w:tc>
        <w:tc>
          <w:tcPr>
            <w:tcW w:w="400"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  ​</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400"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stock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impact of share based awards</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stock shares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restricted stock excluded from diluted EPS computation</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400"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warrants excluded from diluted EPS computation</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13.COMMITMENT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leases all but one of its locations. Excluding renewal options that are not reasonably certain to be exercised, our leases have remaining contractual terms that range from 2 to 18 years. Most of the leases contain renewal options and escalation clauses. Our property leases require payment of real estate taxes, insurance, and common area maintenance, in addition to rent. Our lease agreements do not contain any material residual value guarantees or material restrictive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66" w:name="Tc_Kloe1Ds7wEqc25FIvqkXzA_5_5"/>
      <w:bookmarkStart w:id="867" w:name="Tc_N3jwhWqBREaR7fsD6vKrzQ_5_2"/>
      <w:bookmarkStart w:id="868" w:name="Tc_XdvVWe5ZUEWjVUqAJghMjg_5_0"/>
      <w:bookmarkStart w:id="869" w:name="Tc_AHHfnI4Hf0CMVqZClVJh7w_4_2"/>
      <w:bookmarkStart w:id="870" w:name="Tc_M4P-Nj2yJUe6Rrimd9pzjw_3_5"/>
      <w:bookmarkStart w:id="871" w:name="Tc_k3GuIT0-LkKLF8ZTtkxLtA_3_2"/>
      <w:bookmarkStart w:id="872" w:name="Tc_EdkHiBWH2kKGe7NLDbR9uA_2_2"/>
      <w:bookmarkStart w:id="873" w:name="Tc_lWAWyM1tmkanfUL-Ps1_vA_1_2"/>
      <w:bookmarkStart w:id="874" w:name="Tc_uRVC4LklIku1FMygSCYxvQ_4_7"/>
      <w:bookmarkStart w:id="875" w:name="Tc_mkyeqCXVmUqMyW9v9K6N7Q_4_4"/>
      <w:bookmarkStart w:id="876" w:name="Tc_tD1A3nguEkKgnD2Q0iIlgA_4_0"/>
      <w:bookmarkStart w:id="877" w:name="Tc_e-hNfUNeeEuKzyK71xzBTg_3_7"/>
      <w:bookmarkStart w:id="878" w:name="Tc_uMxyehyZFECU1GEnMJOoTw_3_4"/>
      <w:bookmarkStart w:id="879" w:name="Tc_ieQ3MuQDREOHOEemOEreRQ_3_0"/>
      <w:bookmarkStart w:id="880" w:name="Tc_D2rXWwp3JEax7pp9PTR2Og_2_6"/>
      <w:bookmarkStart w:id="881" w:name="Tc_oRcCJM-uQUGV2UBdqA08cA_2_3"/>
      <w:bookmarkStart w:id="882" w:name="Tc_xYAIKu7NMUiI9FeeREN8RA_1_3"/>
      <w:bookmarkStart w:id="883" w:name="Tc_rsFgAqzKiEqWufq7cUJsYQ_8_5"/>
      <w:bookmarkStart w:id="884" w:name="Tc_OYxEw9OHwUW0XqDDdTT5Cw_8_2"/>
      <w:bookmarkStart w:id="885" w:name="Tc_FVdUJ_VfgU2IluQstHPlzw_8_0"/>
      <w:bookmarkStart w:id="886" w:name="Tc_9Jja2jW1A0in5lhrFkh0Lw_7_0"/>
      <w:bookmarkStart w:id="887" w:name="Tc_p8tbqMAy1EuNbDVfim7gRA_6_5"/>
      <w:bookmarkStart w:id="888" w:name="Tc_7ftSGajMkUWL7XnRiAI7Xg_6_2"/>
      <w:bookmarkStart w:id="889" w:name="Tc_8Ejnp3uw5kK0KqnK04J5XQ_6_0"/>
      <w:bookmarkStart w:id="890" w:name="Tc_TwyDaKg-1EWeZ4QWckL-OA_5_0"/>
      <w:bookmarkStart w:id="891" w:name="Tc_4oTwIYat_keUlaEEV7BDQA_4_5"/>
      <w:bookmarkStart w:id="892" w:name="Tc_ts5Fi9h_C0eJSsTijOW6Qw_4_2"/>
      <w:bookmarkStart w:id="893" w:name="Tc_JQ3IeqsgNEmucwlUFj_88w_4_0"/>
      <w:bookmarkStart w:id="894" w:name="Tc_-sz-Onorx0WPmBFw7kG79Q_3_2"/>
      <w:bookmarkStart w:id="895" w:name="Tc_ZseYLzvxD0OyI766ceYfZw_2_5"/>
      <w:bookmarkStart w:id="896" w:name="Tc_IKpQLWtuDUebWsGvoTAdKA_2_2"/>
      <w:bookmarkStart w:id="897" w:name="Tc_otY-g92rEkGg4-XAiOTytA_1_2"/>
      <w:bookmarkStart w:id="898" w:name="Tc_PW4EDEWG8UKQJzmVnNMNXw_5_5"/>
      <w:bookmarkStart w:id="899" w:name="Tc_VvBDOW7kXU6KlSDcdBDnfA_5_2"/>
      <w:bookmarkStart w:id="900" w:name="Tc_vikIg7J_u0eUYuvzYU1ZcA_5_0"/>
      <w:bookmarkStart w:id="901" w:name="Tc_UYWS5JSMMk-pG6Yqp0qYrg_4_2"/>
      <w:bookmarkStart w:id="902" w:name="Tc_j7CHV7FhyUWBN50UFPF7Eg_3_5"/>
      <w:bookmarkStart w:id="903" w:name="Tc_xFpwgMJ1ZkGWxIKjQoGLAg_3_2"/>
      <w:bookmarkStart w:id="904" w:name="Tc_75OVI8qwVEaFjqZEh7JPaA_2_2"/>
      <w:bookmarkStart w:id="905" w:name="Tc_vHr9s2fvxUG3h8Luyt4Z6Q_1_2"/>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b/>
          <w:sz w:val="20"/>
        </w:rPr>
        <w:t xml:space="preserve">Lease Cost — </w:t>
      </w:r>
      <w:r>
        <w:rPr>
          <w:rFonts w:ascii="Times New Roman;Times;serif" w:hAnsi="Times New Roman;Times;serif"/>
          <w:sz w:val="20"/>
        </w:rPr>
        <w:t>Lease cost has been included within Office occupancy on our condensed consolidated statement of operations and consisted of the following:</w:t>
      </w:r>
    </w:p>
    <w:p>
      <w:pPr>
        <w:pStyle w:val="TextBody"/>
        <w:bidi w:val="0"/>
        <w:spacing w:before="0" w:after="0"/>
        <w:ind w:left="0" w:right="0" w:hanging="0"/>
        <w:jc w:val="left"/>
        <w:rPr/>
      </w:pPr>
      <w:r>
        <w:rPr/>
        <w:t>​</w:t>
      </w:r>
    </w:p>
    <w:tbl>
      <w:tblPr>
        <w:tblW w:w="3631" w:type="dxa"/>
        <w:jc w:val="left"/>
        <w:tblInd w:w="0" w:type="dxa"/>
        <w:tblLayout w:type="fixed"/>
        <w:tblCellMar>
          <w:top w:w="0" w:type="dxa"/>
          <w:left w:w="0" w:type="dxa"/>
          <w:bottom w:w="0" w:type="dxa"/>
          <w:right w:w="0" w:type="dxa"/>
        </w:tblCellMar>
      </w:tblPr>
      <w:tblGrid>
        <w:gridCol w:w="1006"/>
        <w:gridCol w:w="346"/>
        <w:gridCol w:w="237"/>
        <w:gridCol w:w="642"/>
        <w:gridCol w:w="389"/>
        <w:gridCol w:w="237"/>
        <w:gridCol w:w="774"/>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38810" cy="175260"/>
                      <wp:effectExtent l="0" t="0" r="0" b="0"/>
                      <wp:wrapNone/>
                      <wp:docPr id="198" name="Frame1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0495" cy="175260"/>
                      <wp:effectExtent l="0" t="0" r="0" b="0"/>
                      <wp:wrapNone/>
                      <wp:docPr id="200" name="Frame20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07670" cy="175260"/>
                      <wp:effectExtent l="0" t="0" r="0" b="0"/>
                      <wp:wrapNone/>
                      <wp:docPr id="201" name="Frame201"/>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7015" cy="175260"/>
                      <wp:effectExtent l="0" t="0" r="0" b="0"/>
                      <wp:wrapNone/>
                      <wp:docPr id="202" name="Frame202"/>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0495" cy="175260"/>
                      <wp:effectExtent l="0" t="0" r="0" b="0"/>
                      <wp:wrapNone/>
                      <wp:docPr id="203" name="Frame20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1490" cy="175260"/>
                      <wp:effectExtent l="0" t="0" r="0" b="0"/>
                      <wp:wrapNone/>
                      <wp:docPr id="204" name="Frame204"/>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9" w:type="dxa"/>
            <w:tcBorders/>
            <w:vAlign w:val="center"/>
          </w:tcPr>
          <w:p>
            <w:pPr>
              <w:pStyle w:val="TableContents"/>
              <w:bidi w:val="0"/>
              <w:spacing w:before="0" w:after="0"/>
              <w:ind w:left="0" w:right="0" w:hanging="0"/>
              <w:jc w:val="left"/>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3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1,912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 cost associated with operating leases and short-term leases (i.e., leases with an initial term of 12 months or less) is recognized on a straight-line basis from the date we take possession of the property through the end of the lease term. Variable lease payments not recognized in the measurement of operating lease liabilities are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Operating Right of Use Assets and Lease Liabilities — </w:t>
      </w:r>
      <w:r>
        <w:rPr>
          <w:rFonts w:ascii="Times New Roman;Times;serif" w:hAnsi="Times New Roman;Times;serif"/>
          <w:sz w:val="20"/>
        </w:rPr>
        <w:t>Operating right of use assets and lease liabilities included on our condensed consolidated balance sheet were as follows:</w:t>
      </w:r>
    </w:p>
    <w:p>
      <w:pPr>
        <w:pStyle w:val="TextBody"/>
        <w:bidi w:val="0"/>
        <w:spacing w:before="0" w:after="0"/>
        <w:ind w:left="0" w:right="0" w:hanging="0"/>
        <w:jc w:val="left"/>
        <w:rPr/>
      </w:pPr>
      <w:r>
        <w:rPr/>
        <w:t>​</w:t>
      </w:r>
    </w:p>
    <w:tbl>
      <w:tblPr>
        <w:tblW w:w="6818" w:type="dxa"/>
        <w:jc w:val="left"/>
        <w:tblInd w:w="0" w:type="dxa"/>
        <w:tblLayout w:type="fixed"/>
        <w:tblCellMar>
          <w:top w:w="0" w:type="dxa"/>
          <w:left w:w="0" w:type="dxa"/>
          <w:bottom w:w="0" w:type="dxa"/>
          <w:right w:w="0" w:type="dxa"/>
        </w:tblCellMar>
      </w:tblPr>
      <w:tblGrid>
        <w:gridCol w:w="3556"/>
        <w:gridCol w:w="109"/>
        <w:gridCol w:w="299"/>
        <w:gridCol w:w="962"/>
        <w:gridCol w:w="346"/>
        <w:gridCol w:w="324"/>
        <w:gridCol w:w="1222"/>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58060" cy="175260"/>
                      <wp:effectExtent l="0" t="0" r="0" b="0"/>
                      <wp:wrapNone/>
                      <wp:docPr id="205" name="Frame20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9865" cy="175260"/>
                      <wp:effectExtent l="0" t="0" r="0" b="0"/>
                      <wp:wrapNone/>
                      <wp:docPr id="207" name="Frame20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10870" cy="175260"/>
                      <wp:effectExtent l="0" t="0" r="0" b="0"/>
                      <wp:wrapNone/>
                      <wp:docPr id="208" name="Frame20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5740" cy="175260"/>
                      <wp:effectExtent l="0" t="0" r="0" b="0"/>
                      <wp:wrapNone/>
                      <wp:docPr id="210" name="Frame21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75970" cy="175260"/>
                      <wp:effectExtent l="0" t="0" r="0" b="0"/>
                      <wp:wrapNone/>
                      <wp:docPr id="211" name="Frame211"/>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1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 of use assets –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44,418</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leases</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41,405</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48,240</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48,370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Remaining Lease Terms and Discount Rates — </w:t>
      </w:r>
      <w:r>
        <w:rPr>
          <w:rFonts w:ascii="Times New Roman;Times;serif" w:hAnsi="Times New Roman;Times;serif"/>
          <w:sz w:val="20"/>
        </w:rPr>
        <w:t>ASC 842 requires that we recognize right of use assets and lease liabilities for our operating leases. A key component of this is to determine the incremental borrowing rate, which is used to discount future lease payments. The incremental borrowing rate is defined as the rate of interest that a lessee would have to pay to borrow over a similar term, with similar security, the funds necessary to purchase the underlying asset in a similar economic environment. Since the interest rate implicit in our lease contracts is typically not readily determinable, we reviewed existing debt financing arrangements and the types of leases as well as the lease term and type of collateral to calculate the incremental borrowing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remaining lease terms and discount rates associated with our operating lease liabilities were as follows:</w:t>
      </w:r>
    </w:p>
    <w:p>
      <w:pPr>
        <w:pStyle w:val="TextBody"/>
        <w:bidi w:val="0"/>
        <w:spacing w:before="0" w:after="0"/>
        <w:ind w:left="0" w:right="0" w:hanging="0"/>
        <w:jc w:val="left"/>
        <w:rPr/>
      </w:pPr>
      <w:r>
        <w:rPr/>
        <w:t>​</w:t>
      </w:r>
    </w:p>
    <w:tbl>
      <w:tblPr>
        <w:tblW w:w="7872" w:type="dxa"/>
        <w:jc w:val="left"/>
        <w:tblInd w:w="0" w:type="dxa"/>
        <w:tblLayout w:type="fixed"/>
        <w:tblCellMar>
          <w:top w:w="0" w:type="dxa"/>
          <w:left w:w="0" w:type="dxa"/>
          <w:bottom w:w="0" w:type="dxa"/>
          <w:right w:w="0" w:type="dxa"/>
        </w:tblCellMar>
      </w:tblPr>
      <w:tblGrid>
        <w:gridCol w:w="4501"/>
        <w:gridCol w:w="109"/>
        <w:gridCol w:w="109"/>
        <w:gridCol w:w="592"/>
        <w:gridCol w:w="669"/>
        <w:gridCol w:w="346"/>
        <w:gridCol w:w="694"/>
        <w:gridCol w:w="852"/>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58135" cy="175260"/>
                      <wp:effectExtent l="0" t="0" r="0" b="0"/>
                      <wp:wrapNone/>
                      <wp:docPr id="212" name="Frame212"/>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5920" cy="175260"/>
                      <wp:effectExtent l="0" t="0" r="0" b="0"/>
                      <wp:wrapNone/>
                      <wp:docPr id="215" name="Frame215"/>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4815" cy="175260"/>
                      <wp:effectExtent l="0" t="0" r="0" b="0"/>
                      <wp:wrapNone/>
                      <wp:docPr id="216" name="Frame216"/>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40690" cy="175260"/>
                      <wp:effectExtent l="0" t="0" r="0" b="0"/>
                      <wp:wrapNone/>
                      <wp:docPr id="218" name="Frame218"/>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41020" cy="175260"/>
                      <wp:effectExtent l="0" t="0" r="0" b="0"/>
                      <wp:wrapNone/>
                      <wp:docPr id="219" name="Frame21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Weight-average discount rate-operating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Weight-average remaining lease term-operating leases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Supplemental Cash Flow Information — </w:t>
      </w:r>
      <w:r>
        <w:rPr>
          <w:rFonts w:ascii="Times New Roman;Times;serif" w:hAnsi="Times New Roman;Times;serif"/>
          <w:sz w:val="20"/>
        </w:rPr>
        <w:t>Supplemental cash flow information associated with our operating leases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840"/>
        <w:gridCol w:w="109"/>
        <w:gridCol w:w="243"/>
        <w:gridCol w:w="659"/>
        <w:gridCol w:w="398"/>
        <w:gridCol w:w="243"/>
        <w:gridCol w:w="713"/>
      </w:tblGrid>
      <w:tr>
        <w:trPr/>
        <w:tc>
          <w:tcPr>
            <w:tcW w:w="7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78400" cy="175260"/>
                      <wp:effectExtent l="0" t="0" r="0" b="0"/>
                      <wp:wrapNone/>
                      <wp:docPr id="220" name="Frame220"/>
                      <a:graphic xmlns:a="http://schemas.openxmlformats.org/drawingml/2006/main">
                        <a:graphicData uri="http://schemas.microsoft.com/office/word/2010/wordprocessingShape">
                          <wps:wsp>
                            <wps:cNvSpPr txBox="1"/>
                            <wps:spPr>
                              <a:xfrm>
                                <a:off x="0" y="0"/>
                                <a:ext cx="4978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4305" cy="175260"/>
                      <wp:effectExtent l="0" t="0" r="0" b="0"/>
                      <wp:wrapNone/>
                      <wp:docPr id="222" name="Frame222"/>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8465" cy="175260"/>
                      <wp:effectExtent l="0" t="0" r="0" b="0"/>
                      <wp:wrapNone/>
                      <wp:docPr id="223" name="Frame223"/>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2730" cy="175260"/>
                      <wp:effectExtent l="0" t="0" r="0" b="0"/>
                      <wp:wrapNone/>
                      <wp:docPr id="224" name="Frame22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4305" cy="175260"/>
                      <wp:effectExtent l="0" t="0" r="0" b="0"/>
                      <wp:wrapNone/>
                      <wp:docPr id="225" name="Frame22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52755" cy="175260"/>
                      <wp:effectExtent l="0" t="0" r="0" b="0"/>
                      <wp:wrapNone/>
                      <wp:docPr id="226" name="Frame226"/>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78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84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8" w:type="dxa"/>
            <w:tcBorders/>
            <w:vAlign w:val="center"/>
          </w:tcPr>
          <w:p>
            <w:pPr>
              <w:pStyle w:val="TableContents"/>
              <w:bidi w:val="0"/>
              <w:spacing w:before="0" w:after="0"/>
              <w:ind w:left="0" w:right="0" w:hanging="0"/>
              <w:jc w:val="left"/>
              <w:rPr/>
            </w:pPr>
            <w:r>
              <w:rPr/>
              <w:t>  ​ ​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84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information – right of use assets obtained in exchange for lease liabilities –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98"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r>
      <w:tr>
        <w:trPr/>
        <w:tc>
          <w:tcPr>
            <w:tcW w:w="78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906" w:name="Tc_EH2HXl-AI0GJeG_KB87nQw_10_2"/>
      <w:bookmarkStart w:id="907" w:name="Tc_6GWPmFOe7E692YPzYcR1GA_10_0"/>
      <w:bookmarkStart w:id="908" w:name="Tc_LAYn63J1y06oVn-HQnr07Q_9_0"/>
      <w:bookmarkStart w:id="909" w:name="Tc_rO5s2OK6b0-2ZHU8qEOUpA_8_0"/>
      <w:bookmarkStart w:id="910" w:name="Tc_iB5lYmj_LkySVQ3hzX0n3Q_7_0"/>
      <w:bookmarkStart w:id="911" w:name="Tc__MH6A8gdyE-PbJH_6-ibVw_6_0"/>
      <w:bookmarkStart w:id="912" w:name="Tc_vYMP2hmSwEiSqU4RpBKL3Q_5_0"/>
      <w:bookmarkStart w:id="913" w:name="Tc_dIzrMtrTOUiX7fSwsvYUuw_4_0"/>
      <w:bookmarkStart w:id="914" w:name="Tc_DRZoPEQ82EGh256eyOxjIQ_3_0"/>
      <w:bookmarkStart w:id="915" w:name="Tc_DCvoCzgI_E6983x1U6Nfhw_2_2"/>
      <w:bookmarkStart w:id="916" w:name="Tc_0jMzGqEyUUmEO2Gjf7IrLg_2_0"/>
      <w:bookmarkStart w:id="917" w:name="Tc_ColodVlKR0e-knmm8bQJ_w_1_2"/>
      <w:bookmarkEnd w:id="906"/>
      <w:bookmarkEnd w:id="907"/>
      <w:bookmarkEnd w:id="908"/>
      <w:bookmarkEnd w:id="909"/>
      <w:bookmarkEnd w:id="910"/>
      <w:bookmarkEnd w:id="911"/>
      <w:bookmarkEnd w:id="912"/>
      <w:bookmarkEnd w:id="913"/>
      <w:bookmarkEnd w:id="914"/>
      <w:bookmarkEnd w:id="915"/>
      <w:bookmarkEnd w:id="916"/>
      <w:bookmarkEnd w:id="917"/>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Maturities of Operating Lease Liabilities — </w:t>
      </w:r>
      <w:r>
        <w:rPr>
          <w:rFonts w:ascii="Times New Roman;Times;serif" w:hAnsi="Times New Roman;Times;serif"/>
          <w:sz w:val="20"/>
        </w:rPr>
        <w:t>Scheduled minimum lease payments under noncancelable operating leases with initial or remaining lease terms in excess of one year at March 31, 2026, are summarized as follows:</w:t>
      </w:r>
    </w:p>
    <w:p>
      <w:pPr>
        <w:pStyle w:val="TextBody"/>
        <w:bidi w:val="0"/>
        <w:spacing w:before="0" w:after="0"/>
        <w:ind w:left="0" w:right="0" w:hanging="0"/>
        <w:jc w:val="left"/>
        <w:rPr/>
      </w:pPr>
      <w:r>
        <w:rPr/>
        <w:t>​</w:t>
      </w:r>
    </w:p>
    <w:tbl>
      <w:tblPr>
        <w:tblW w:w="3965" w:type="dxa"/>
        <w:jc w:val="left"/>
        <w:tblInd w:w="0" w:type="dxa"/>
        <w:tblLayout w:type="fixed"/>
        <w:tblCellMar>
          <w:top w:w="0" w:type="dxa"/>
          <w:left w:w="0" w:type="dxa"/>
          <w:bottom w:w="0" w:type="dxa"/>
          <w:right w:w="0" w:type="dxa"/>
        </w:tblCellMar>
      </w:tblPr>
      <w:tblGrid>
        <w:gridCol w:w="2686"/>
        <w:gridCol w:w="109"/>
        <w:gridCol w:w="245"/>
        <w:gridCol w:w="925"/>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05610" cy="175260"/>
                      <wp:effectExtent l="0" t="0" r="0" b="0"/>
                      <wp:wrapNone/>
                      <wp:docPr id="227" name="Frame22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55575" cy="175260"/>
                      <wp:effectExtent l="0" t="0" r="0" b="0"/>
                      <wp:wrapNone/>
                      <wp:docPr id="229" name="Frame22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87375" cy="175260"/>
                      <wp:effectExtent l="0" t="0" r="0" b="0"/>
                      <wp:wrapNone/>
                      <wp:docPr id="230" name="Frame230"/>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liability accretion</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48,240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Legal Contingencies —</w:t>
      </w:r>
      <w:r>
        <w:rPr>
          <w:rFonts w:ascii="Times New Roman;Times;serif" w:hAnsi="Times New Roman;Times;serif"/>
          <w:sz w:val="20"/>
        </w:rPr>
        <w:t xml:space="preserve"> We and our affiliated dental practices have been named as a defendant in lawsuits from time to time in the normal course of business, primarily for employment liability, alleged negligence in care or general liability and contractual business disputes. At the present time, we do not believe any pending lawsuits will have a material adverse effect on our operating results, cash flows, liquidity or financial position</w:t>
      </w:r>
    </w:p>
    <w:p>
      <w:pPr>
        <w:pStyle w:val="TextBody"/>
        <w:bidi w:val="0"/>
        <w:spacing w:before="0" w:after="240"/>
        <w:ind w:left="0" w:right="0" w:firstLine="360"/>
        <w:jc w:val="left"/>
        <w:rPr>
          <w:rFonts w:ascii="TimesNewRoman" w:hAnsi="TimesNewRoman"/>
          <w:sz w:val="20"/>
        </w:rPr>
      </w:pPr>
      <w:r>
        <w:rPr>
          <w:rFonts w:ascii="TimesNewRoman" w:hAnsi="TimesNewRoman"/>
          <w:sz w:val="20"/>
        </w:rPr>
        <w:t xml:space="preserve">In 2024, multiple claims were filed against us in state and federal courts in Minnesota based on a data breach event. Subsequently, certain of the claims were dismissed; however, the putative class action suit in Minnesota District Court entitled, In re Park Dental Data Breach Litigation, Case No. 27-CV-24-12335, Fourth Judicial District, County of Hennepin, State of Minnesota continues. We anticipate the settlement of this matter is now probable. We expect the settlement, net of insurance recoveries, will have an immaterial impact to our financial results as we anticipate the costs to settle will be fully recovered under our insurance policy coverage.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14.VARIABLE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affiliated dental practices employ dentists, contract with payors, and provide dental services to patients across Minnesota, Wisconsin, and Arizona. Park Dental Partners, Inc. provides a wide range of support services to the affiliated dental practices. Activities include but are not limited to operational support of clinical facilities, marketing, information technology infrastructure, and the sourcing and managing of dental plan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evaluated whether we have a variable interest in our affiliated dental practices, whether practices are VIEs, and whether we have a controlling financial interest in them. We’ve concluded that there are variable interests in the affiliated dental practices on the basis of its Administrative Resources Agreements which provides for reimbursement of costs and management fees payable to us in exchange for providing management and administrative services related to the growth of the patient population, development of all necessary policies and operating procedures, including development and implementation of clinical practice guidelines, and quality assurance and utilization management programs. We have concluded that the success or failure of the dental resource organization (DRO) in conducting these support activities will most significantly impact the economic performance of our affiliated dental practices. In addition, our variable interests in these practices provide us with the right to receive benefits that could potentially be significant. We also note there are no assets of the affiliated dental practices that cannot be used to settle obligations of the Company, and there are no liabilities of the affiliated dental practices for which creditors do not have recourse to the general credit of Park Dental Partners, Inc. as the primary beneficiary. The single member of each of the respective affiliated dental practices is a shareholder of Park Dental Partners, Inc. As a result of this analysis, Park Dental Partners, Inc. concluded that it is the primary beneficiary of the affiliated dental practices and therefore consolidates their balance sheets, results of operations and cash flows. We perform a qualitative assessment of VIEs on an ongoing basis to determine if we continue to be the primary beneficiary.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18" w:name="Tc_2tmGOOjU3UqQbVM60soudQ_5_5"/>
      <w:bookmarkStart w:id="919" w:name="Tc_i4-zZv0J4kKEYFTw2ZY-LQ_5_2"/>
      <w:bookmarkStart w:id="920" w:name="Tc_nZwYSHIOFEiqU1ogRAG0dA_5_0"/>
      <w:bookmarkStart w:id="921" w:name="Tc_69fGK93LHk6kzpp98kFylQ_4_5"/>
      <w:bookmarkStart w:id="922" w:name="Tc_pX4LM2FhEUWVTNlHcFU-xg_4_2"/>
      <w:bookmarkStart w:id="923" w:name="Tc_fb-JcMOzmUWXivldavV4GQ_4_0"/>
      <w:bookmarkStart w:id="924" w:name="Tc_J7L_onwXQ0e_5x4yvFQuJw_3_2"/>
      <w:bookmarkStart w:id="925" w:name="Tc_BuSdPSoZIEKHh1X3ZT6ppQ_2_5"/>
      <w:bookmarkStart w:id="926" w:name="Tc_3DrdFh7YsE6qmRTDgWJ4Ug_2_2"/>
      <w:bookmarkStart w:id="927" w:name="Tc_0ekqnDhy40mizmjqafiy4g_1_2"/>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sz w:val="20"/>
        </w:rPr>
        <w:t>The combined assets and liabilities of the affiliated dental practices of PDG, TDS and The Dental Specialists Orthodontics which are included within the consolidated financial statements of Park Dental Partners, Inc. are as follows:</w:t>
      </w:r>
    </w:p>
    <w:p>
      <w:pPr>
        <w:pStyle w:val="TextBody"/>
        <w:bidi w:val="0"/>
        <w:spacing w:before="0" w:after="0"/>
        <w:ind w:left="0" w:right="0" w:hanging="0"/>
        <w:jc w:val="left"/>
        <w:rPr/>
      </w:pPr>
      <w:r>
        <w:rPr/>
        <w:t>​</w:t>
      </w:r>
    </w:p>
    <w:tbl>
      <w:tblPr>
        <w:tblW w:w="5390" w:type="dxa"/>
        <w:jc w:val="left"/>
        <w:tblInd w:w="0" w:type="dxa"/>
        <w:tblLayout w:type="fixed"/>
        <w:tblCellMar>
          <w:top w:w="0" w:type="dxa"/>
          <w:left w:w="0" w:type="dxa"/>
          <w:bottom w:w="0" w:type="dxa"/>
          <w:right w:w="0" w:type="dxa"/>
        </w:tblCellMar>
      </w:tblPr>
      <w:tblGrid>
        <w:gridCol w:w="1891"/>
        <w:gridCol w:w="346"/>
        <w:gridCol w:w="299"/>
        <w:gridCol w:w="962"/>
        <w:gridCol w:w="346"/>
        <w:gridCol w:w="324"/>
        <w:gridCol w:w="1222"/>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00785" cy="175260"/>
                      <wp:effectExtent l="0" t="0" r="0" b="0"/>
                      <wp:wrapNone/>
                      <wp:docPr id="231" name="Frame23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9865" cy="175260"/>
                      <wp:effectExtent l="0" t="0" r="0" b="0"/>
                      <wp:wrapNone/>
                      <wp:docPr id="233" name="Frame23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10870" cy="175260"/>
                      <wp:effectExtent l="0" t="0" r="0" b="0"/>
                      <wp:wrapNone/>
                      <wp:docPr id="234" name="Frame23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5740" cy="175260"/>
                      <wp:effectExtent l="0" t="0" r="0" b="0"/>
                      <wp:wrapNone/>
                      <wp:docPr id="236" name="Frame23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75970" cy="175260"/>
                      <wp:effectExtent l="0" t="0" r="0" b="0"/>
                      <wp:wrapNone/>
                      <wp:docPr id="237" name="Frame237"/>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39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39,852</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41,269</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32,551</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32,821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the minority ownership in the affiliated dental practices, whereby a single designated doctor holds one share of the affiliate entity, but has no right to receive any economic benefit, or interest in the profits generated by the affiliated dental practices, we have not assigned any value to the non-controlling interests in the condensed consolidated operations.</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b/>
          <w:sz w:val="21"/>
        </w:rPr>
        <w:t>RELATED-PARTY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lease agreements with entities that are minority owned by certain practicing dentists and officers of the Company. Total lease liabilities for these properties were $22,656 at March 31, 2026, and $23,161 at December 31, 2025. Lease cost of $469 and $435 was recognized for these properties for March 31,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described in </w:t>
      </w:r>
      <w:r>
        <w:rPr>
          <w:rFonts w:ascii="Times New Roman;Times;serif" w:hAnsi="Times New Roman;Times;serif"/>
          <w:i/>
          <w:sz w:val="20"/>
        </w:rPr>
        <w:t>Note 9 — Long-term debt</w:t>
      </w:r>
      <w:r>
        <w:rPr>
          <w:rFonts w:ascii="Times New Roman;Times;serif" w:hAnsi="Times New Roman;Times;serif"/>
          <w:sz w:val="20"/>
        </w:rPr>
        <w:t>, we have outstanding subordinated Notes Payable. A portion of these subordinated Notes are due to certain related parties, the principal balance of which is $2,012, due at maturity and interest due quarterly through October 1, 2037.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vesting of certain equity awards upon the consummation of the Company’s initial public offering, the Company issued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promissory notes to eleven affiliated shareholder doctors to provide liquidity for tax obligations arising from such vesting. The loans, which were not available to executive officers or directors, were capped at 31% of the value of the vested shares, bear interest at 3.66% per annum, and are due no later than January 2027. Participating shareholders are subject to a </w:t>
      </w:r>
      <w:r>
        <w:rPr>
          <w:rFonts w:ascii="Times New Roman;Times;serif" w:hAnsi="Times New Roman;Times;serif"/>
          <w:b w:val="false"/>
          <w:i w:val="false"/>
          <w:caps w:val="false"/>
          <w:smallCaps w:val="false"/>
          <w:sz w:val="20"/>
        </w:rPr>
        <w:t>365-day</w:t>
      </w:r>
      <w:r>
        <w:rPr>
          <w:rFonts w:ascii="Times New Roman;Times;serif" w:hAnsi="Times New Roman;Times;serif"/>
          <w:sz w:val="20"/>
        </w:rPr>
        <w:t xml:space="preserve"> lock-up restriction while these loans remain outstanding. The aggregate principal amount outstanding under these promissory notes was $600 as of March 31, 2026, and was presented within Prepaid expenses and other current assets on the condensed consolidated balance sheet. No amounts were outstanding as of December 31, 2025.</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b/>
          <w:sz w:val="22"/>
        </w:rPr>
        <w:t>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evaluated events occurring subsequent to the date of the condensed consolidated financial statements through May 14, 2026, which is the date the condensed consolidated financial statements were issued.</w:t>
      </w:r>
    </w:p>
    <w:p>
      <w:pPr>
        <w:pStyle w:val="TextBody"/>
        <w:pBdr/>
        <w:bidi w:val="0"/>
        <w:spacing w:before="0" w:after="240"/>
        <w:ind w:left="0" w:right="0" w:hanging="36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8" w:name="Item2ManagementsDiscussionandAnalysisofF"/>
      <w:bookmarkStart w:id="929" w:name="_5690a7f6_8b77_4947_b158_aa61db79dc4e"/>
      <w:bookmarkEnd w:id="928"/>
      <w:bookmarkEnd w:id="929"/>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discussion and analysis of the Company’s condensed consolidated financial condition and results of operations should be read along with the condensed consolidated financial statements and the accompanying notes thereto included elsewhere in this Quarterly Report on Form 10-Q (this “Quarterly Report”).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contain these words. These statements are only predictions. The information, except for historical information, contained in this discussion and analysis or set forth elsewhere in this Quarterly Report includes forward-looking statements that involve risks and </w:t>
      </w:r>
      <w:r>
        <w:rPr>
          <w:rFonts w:ascii="Times New Roman;Times;serif" w:hAnsi="Times New Roman;Times;serif"/>
          <w:sz w:val="22"/>
        </w:rPr>
        <w:t>uncertainties. Actual results may differ materially from those contemplated by such forward-looking statements because of, among other things, potential risks and uncertainties,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risk, including state dental corporate practice of dentistry and fee-splitting restrictions, HIPAA and other privacy/cybersecurity obligations, and evolving healthcare and labor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risk, including risks related to payer mix, reimbursement rates, audit/recoupment activity, enrollment and collections timing, and dependence on significant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acquire, integrate and effectively support affiliated practices and to execute de novo expansion, and the risk of undiscovered liabilities in acquisitions;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affiliated dental practices and their clinical performance; our ability to attract, hire and retain dentists, specialists and hygienists; and risks related to ownership transitions of affiliated entities;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patients and clinicians in our markets and the impact on patient volumes and staffing;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inflation and interest rates, and our geographic concentration, particularly in the Minnesota area.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review Part I, Item 1A “Risk Factors” in our Annual Report on Form 10-K filed with the U.S. Securities and Exchange Commission (“SEC”) for the year ended December 31, 2025 for a discussion of a number of important factors that could cause actual results to differ materially from the results described in or implied by the forward-looking statements contained in the following discussion and analysis or set forth elsewhere in this Quarterly Report. The Company assumes no obligation to publicly release the results of any revisions or updates to these forward-looking statements to reflect future events or unanticipated occurrences.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dental resource organization (“DRO”), Park Dental Partners, Inc. provides comprehensive business support services including clinical team members, administrative personnel, facilities and equipment to our affiliated general and multi-specialty dental practices in Minnesota, Wisconsin and Arizona. Our network of affiliated dental practices employs 221 dentists, and consists of 994 hygienists, dental assistants, and patient care coordinators that support affiliated dentists in operating their dental practices across 86 practice locations. Our network of affiliated dental practices has been operating for over fifty years, beginning with the establishment of the general dentistry group in 1972. The mission of our affiliated dental practices since inception has been to ensure patients enjoy the benefits of a lifetime of good oral health. This mission continues to be the driving force behind our organization today.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is based upon our condensed consolidated financial statements, which have been prepared in accordance with GAAP. The preparation of our condensed financial statements in conformity with GAAP requires us to make estimates, judgments and assumptions that affect the reported amounts of assets and liabilities at the date of the financial statements and the reported amount of revenues and expenses in the reporting period. Our actual results may differ from these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policies affected most significantly by estimates, assumptions and judgments used in the preparation of the Company’s condensed consolidated financial statements are described in Part II, Item 7 “Management’s Discussion and Analysis of Financial Condition and Results of Operations” of our Annual Report. On an ongoing basis, the Company evaluates the critical accounting policies used to prepare its condensed consolidated financial statements, including, but not limited to, those related to business acquisitions. There have been no material changes in these critical accounting policies and estimates during the three months ended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Compared to Three Months Ended March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for the periods indicated, our condensed consolidated statements of operations and certain other information. Amounts may not add to the totals due to rounding.</w:t>
      </w:r>
    </w:p>
    <w:tbl>
      <w:tblPr>
        <w:tblW w:w="6937" w:type="dxa"/>
        <w:jc w:val="left"/>
        <w:tblInd w:w="0" w:type="dxa"/>
        <w:tblLayout w:type="fixed"/>
        <w:tblCellMar>
          <w:top w:w="0" w:type="dxa"/>
          <w:left w:w="0" w:type="dxa"/>
          <w:bottom w:w="0" w:type="dxa"/>
          <w:right w:w="0" w:type="dxa"/>
        </w:tblCellMar>
      </w:tblPr>
      <w:tblGrid>
        <w:gridCol w:w="4411"/>
        <w:gridCol w:w="346"/>
        <w:gridCol w:w="211"/>
        <w:gridCol w:w="691"/>
        <w:gridCol w:w="346"/>
        <w:gridCol w:w="211"/>
        <w:gridCol w:w="72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800985" cy="175260"/>
                      <wp:effectExtent l="0" t="0" r="0" b="0"/>
                      <wp:wrapNone/>
                      <wp:docPr id="238" name="Frame238"/>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57835" cy="175260"/>
                      <wp:effectExtent l="0" t="0" r="0" b="0"/>
                      <wp:wrapNone/>
                      <wp:docPr id="244" name="Frame24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Operations: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 and Laboratory fees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occupancy</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1,566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Total revenues for the three months ended March 31, 2026, increased $3.7 million, or 6.2%, to $62.7 million from $59.0 million for the three months ended March 31, 2025. General Dentistry revenue increased $2.8 million, and multi specialty dentistry revenue was higher by $0.9 million, reflecting increased patient visits and clinical hours, the impact of acquisitions, and reimbursement growth through higher payor contractual rates. Revenue from acquisitions contributed approximately $0.8 million for the quarter over the prior year’s comparable quarter. Same Practice Revenue Growth, as defined as dental practice locations that have been operating for at least 13 full months prior to the end of a given period and which have not been closed, or sold during such periods, increased approximately 4.1%, or $2.4 million from the prior comparable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Cost of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Salaries and Benefits</w:t>
      </w:r>
      <w:r>
        <w:rPr>
          <w:rFonts w:ascii="Times New Roman;Times;serif" w:hAnsi="Times New Roman;Times;serif"/>
          <w:sz w:val="20"/>
        </w:rPr>
        <w:t>. Salaries and benefits consist principally of affiliated dentist compensation, clinical team member compensation and related benefit costs. Salaries and benefits for the three months ended March 31, 2026 was $41.9 million, an increase of $6.3 million, or 17.6%, from $35.6 million for the three months ended March 31, 2025. The increase is primarily attributable to the recognition of $3.7 million in share based compensation expense in the three months ended March 31, 2026, while no share based compensation expense was recorded in the three months ended March 31, 2025. The remaining $2.6 million increase relates to an increase of $1.5 million in salaries, driven by increased headcount, including from acquired practices, annual salary increases, $0.4 million increase in benefit costs, $0.3 million in higher incentive compensation, and $0.3 million of contractor support.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Dental supplies and Laboratory Fees. </w:t>
      </w:r>
      <w:r>
        <w:rPr>
          <w:rFonts w:ascii="Times New Roman;Times;serif" w:hAnsi="Times New Roman;Times;serif"/>
          <w:sz w:val="20"/>
        </w:rPr>
        <w:t>Dental supplies and laboratory fees consists of variable costs associated with our affiliated dental practices providing dental services. Dental supplies and laboratory fees expense for the three months ended March 31, 2026 was $4.3 million, an increase of $0.1 million, or 2.3% from $4.2 million for the three months ended March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Office occupancy expenses. </w:t>
      </w:r>
      <w:r>
        <w:rPr>
          <w:rFonts w:ascii="Times New Roman;Times;serif" w:hAnsi="Times New Roman;Times;serif"/>
          <w:sz w:val="20"/>
        </w:rPr>
        <w:t>Office occupancy expenses include lease costs and other physical practice location expenses. Office occupancy expense for the three months ended March 31, 2026 was $4.3 million, an increase of $0.3 million, or 7.0%, from $4.0 million for the three months ended March 31, 2025, attributable to increased capacity expansion and slightly higher leasing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Other practice expenses. </w:t>
      </w:r>
      <w:r>
        <w:rPr>
          <w:rFonts w:ascii="Times New Roman;Times;serif" w:hAnsi="Times New Roman;Times;serif"/>
          <w:sz w:val="20"/>
        </w:rPr>
        <w:t>Other practice expenses include MinnesotaCare provider taxes, software and subscription costs, repairs and maintenance costs, recruiting, travel and entertainment, insurance and other operating costs. Other practice expense for the three months ended March 31, 2026 was $3.8 million, an increase of $0.4 million, or 12.6%, from $3.4 million for the three months ended March 31, 2025 as a result of higher software and subscription costs, and volume-based MinnesotaCare provider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Cost of Services Depreciation Expense. </w:t>
      </w:r>
      <w:r>
        <w:rPr>
          <w:rFonts w:ascii="Times New Roman;Times;serif" w:hAnsi="Times New Roman;Times;serif"/>
          <w:sz w:val="20"/>
        </w:rPr>
        <w:t>Cost of services depreciation expense encompasses depreciation associated with practice related assets such as dental equipment, leasehold improvements, furniture and fixtures and computer equipment. Practice depreciation expense for the three months ended March 31, 2026 was $2.0 million, an increase of $0.1 million, or 3.5%, from $1.9 million for the three months ended March 31, 2025.</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of costs of our centralized billing offices and call-centers, marketing and advertising expenses, regional management expenses, executive and senior management, and centralized functions, such as accounting, finance, team member relations, information technology, operations, real estate and other similar functions. General and administrative expense for the three months ended March 31, 2026 was $7.8 million, an increase of $0.9 million, or 13.2%, from $6.9 million for the three months ended March 31, 2025. The increase in cost is primarily attributable to a $0.4 million increase in share based compensation expense, $0.4 million higher professional fees, $0.3 million higher marketing and travel, and $0.2 million increase in salaries and wages, offset in part by $0.5 million lower costs associated with preparing for our 2025 initial public offering.</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expenses are related to our non-practice related investments in long-lived assets such as computer equipment, furniture and fixtures, and amortization of intangible assets. Depreciation and amortization expense for the three months ended March 31, 2026 remained flat compared to the three months ended March 31, 2025. The recognized expense for both periods was $0.4 million.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Net interest expense for the three months ended March 31, 2026 was $0.1 million, a slight decrease from $0.3 million for the three months ended March 31, 2025. This decrease was driven by a decrease in total interest-bearing debt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our term loan and usage of line of credit over the year and an increase in interest income earned on money market funds.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Income tax benefit for the three months ended March 31, 2026 was $1.6 million compared to $0.6 million income tax expense for the three months ended March 31, 2025. The change was due to lower taxable income, impacted by decreased operating earnings and increased tax benefits primarily related to share based compensation.</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Key Financial Measures, Performance Indicators and Non-GAAP Financial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assessing the performance of our business, we consider a variety of financial measures and performance indicators that directly or indirectly impact our revenue and profitability. The key financial and Non-GAAP financial measures and performance indicators we use are set forth below, as of and for the three months ended March 31, 2026 and 2025:</w:t>
      </w:r>
    </w:p>
    <w:tbl>
      <w:tblPr>
        <w:tblW w:w="10205" w:type="dxa"/>
        <w:jc w:val="left"/>
        <w:tblInd w:w="0" w:type="dxa"/>
        <w:tblLayout w:type="fixed"/>
        <w:tblCellMar>
          <w:top w:w="0" w:type="dxa"/>
          <w:left w:w="0" w:type="dxa"/>
          <w:bottom w:w="0" w:type="dxa"/>
          <w:right w:w="0" w:type="dxa"/>
        </w:tblCellMar>
      </w:tblPr>
      <w:tblGrid>
        <w:gridCol w:w="4312"/>
        <w:gridCol w:w="109"/>
        <w:gridCol w:w="228"/>
        <w:gridCol w:w="748"/>
        <w:gridCol w:w="374"/>
        <w:gridCol w:w="228"/>
        <w:gridCol w:w="748"/>
        <w:gridCol w:w="346"/>
        <w:gridCol w:w="319"/>
        <w:gridCol w:w="932"/>
        <w:gridCol w:w="361"/>
        <w:gridCol w:w="224"/>
        <w:gridCol w:w="1276"/>
      </w:tblGrid>
      <w:tr>
        <w:trPr/>
        <w:tc>
          <w:tcPr>
            <w:tcW w:w="4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738120" cy="175260"/>
                      <wp:effectExtent l="0" t="0" r="0" b="0"/>
                      <wp:wrapNone/>
                      <wp:docPr id="245" name="Frame245"/>
                      <a:graphic xmlns:a="http://schemas.openxmlformats.org/drawingml/2006/main">
                        <a:graphicData uri="http://schemas.microsoft.com/office/word/2010/wordprocessingShape">
                          <wps:wsp>
                            <wps:cNvSpPr txBox="1"/>
                            <wps:spPr>
                              <a:xfrm>
                                <a:off x="0" y="0"/>
                                <a:ext cx="273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4780" cy="175260"/>
                      <wp:effectExtent l="0" t="0" r="0" b="0"/>
                      <wp:wrapNone/>
                      <wp:docPr id="247" name="Frame24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74980" cy="175260"/>
                      <wp:effectExtent l="0" t="0" r="0" b="0"/>
                      <wp:wrapNone/>
                      <wp:docPr id="248" name="Frame248"/>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37490" cy="175260"/>
                      <wp:effectExtent l="0" t="0" r="0" b="0"/>
                      <wp:wrapNone/>
                      <wp:docPr id="249" name="Frame24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4780" cy="175260"/>
                      <wp:effectExtent l="0" t="0" r="0" b="0"/>
                      <wp:wrapNone/>
                      <wp:docPr id="250" name="Frame25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74980" cy="175260"/>
                      <wp:effectExtent l="0" t="0" r="0" b="0"/>
                      <wp:wrapNone/>
                      <wp:docPr id="251" name="Frame25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2565" cy="175260"/>
                      <wp:effectExtent l="0" t="0" r="0" b="0"/>
                      <wp:wrapNone/>
                      <wp:docPr id="253" name="Frame25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91820" cy="175260"/>
                      <wp:effectExtent l="0" t="0" r="0" b="0"/>
                      <wp:wrapNone/>
                      <wp:docPr id="254" name="Frame25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9235" cy="175260"/>
                      <wp:effectExtent l="0" t="0" r="0" b="0"/>
                      <wp:wrapNone/>
                      <wp:docPr id="255" name="Frame2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2240" cy="175260"/>
                      <wp:effectExtent l="0" t="0" r="0" b="0"/>
                      <wp:wrapNone/>
                      <wp:docPr id="256" name="Frame25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10260" cy="175260"/>
                      <wp:effectExtent l="0" t="0" r="0" b="0"/>
                      <wp:wrapNone/>
                      <wp:docPr id="257" name="Frame25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r>
      <w:tr>
        <w:trPr/>
        <w:tc>
          <w:tcPr>
            <w:tcW w:w="43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 percentages, patient visits, and doctor count)</w:t>
            </w:r>
          </w:p>
        </w:tc>
        <w:tc>
          <w:tcPr>
            <w:tcW w:w="109"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c>
          <w:tcPr>
            <w:tcW w:w="361" w:type="dxa"/>
            <w:tcBorders/>
            <w:vAlign w:val="center"/>
          </w:tcPr>
          <w:p>
            <w:pPr>
              <w:pStyle w:val="TableContents"/>
              <w:bidi w:val="0"/>
              <w:spacing w:before="0" w:after="1"/>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 (Decrease)</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Key Financial Measures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748" w:type="dxa"/>
            <w:tcBorders/>
            <w:shd w:fill="CCEEFF" w:val="clear"/>
            <w:vAlign w:val="center"/>
          </w:tcPr>
          <w:p>
            <w:pPr>
              <w:pStyle w:val="TableContents"/>
              <w:bidi w:val="0"/>
              <w:spacing w:before="0" w:after="1"/>
              <w:ind w:left="0" w:right="0" w:hanging="0"/>
              <w:jc w:val="center"/>
              <w:rPr/>
            </w:pPr>
            <w:r>
              <w:rPr/>
              <w:t>​</w:t>
            </w:r>
          </w:p>
        </w:tc>
        <w:tc>
          <w:tcPr>
            <w:tcW w:w="374"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74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19" w:type="dxa"/>
            <w:tcBorders/>
            <w:shd w:fill="CCEEFF" w:val="clear"/>
            <w:vAlign w:val="center"/>
          </w:tcPr>
          <w:p>
            <w:pPr>
              <w:pStyle w:val="TableContents"/>
              <w:bidi w:val="0"/>
              <w:spacing w:before="0" w:after="1"/>
              <w:ind w:left="0" w:right="0" w:hanging="0"/>
              <w:jc w:val="center"/>
              <w:rPr/>
            </w:pPr>
            <w:r>
              <w:rPr/>
              <w:t>​</w:t>
            </w:r>
          </w:p>
        </w:tc>
        <w:tc>
          <w:tcPr>
            <w:tcW w:w="932"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62,695</w:t>
            </w:r>
          </w:p>
        </w:tc>
        <w:tc>
          <w:tcPr>
            <w:tcW w:w="374"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59,037</w:t>
            </w:r>
          </w:p>
        </w:tc>
        <w:tc>
          <w:tcPr>
            <w:tcW w:w="346"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3,658</w:t>
            </w:r>
          </w:p>
        </w:tc>
        <w:tc>
          <w:tcPr>
            <w:tcW w:w="361"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6,380</w:t>
            </w:r>
          </w:p>
        </w:tc>
        <w:tc>
          <w:tcPr>
            <w:tcW w:w="374"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9,856</w:t>
            </w:r>
          </w:p>
        </w:tc>
        <w:tc>
          <w:tcPr>
            <w:tcW w:w="346" w:type="dxa"/>
            <w:tcBorders/>
            <w:shd w:fill="CCEEFF" w:val="clear"/>
            <w:vAlign w:val="center"/>
          </w:tcPr>
          <w:p>
            <w:pPr>
              <w:pStyle w:val="TableContents"/>
              <w:bidi w:val="0"/>
              <w:spacing w:before="0" w:after="1"/>
              <w:ind w:left="0" w:right="0" w:hanging="0"/>
              <w:jc w:val="center"/>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(3,476)</w:t>
            </w:r>
          </w:p>
        </w:tc>
        <w:tc>
          <w:tcPr>
            <w:tcW w:w="361"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c>
          <w:tcPr>
            <w:tcW w:w="374"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w:t>
            </w:r>
          </w:p>
        </w:tc>
        <w:tc>
          <w:tcPr>
            <w:tcW w:w="346"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w:t>
            </w:r>
          </w:p>
        </w:tc>
        <w:tc>
          <w:tcPr>
            <w:tcW w:w="361"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EPS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74" w:type="dxa"/>
            <w:tcBorders/>
            <w:shd w:fill="CCEEFF" w:val="cle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0.88</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(0.97)</w:t>
            </w:r>
          </w:p>
        </w:tc>
        <w:tc>
          <w:tcPr>
            <w:tcW w:w="361"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(110.1)%</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Patient Visits</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178,527</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175,940</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2,587</w:t>
            </w:r>
          </w:p>
        </w:tc>
        <w:tc>
          <w:tcPr>
            <w:tcW w:w="361"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Same Practice Revenue Growth</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bps</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241.7%</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Patient Retention Rate</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bps</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Doctor Count</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61"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4312"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i/>
                <w:sz w:val="18"/>
              </w:rPr>
              <w:t>Non-GAAP Measures</w:t>
            </w:r>
            <w:r>
              <w:rPr>
                <w:rFonts w:ascii="Times New Roman;Times;serif" w:hAnsi="Times New Roman;Times;serif"/>
                <w:i/>
                <w:sz w:val="14"/>
              </w:rPr>
              <w:t>(1)</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4,745</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5,465</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c>
          <w:tcPr>
            <w:tcW w:w="361"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 Percentage</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bps</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Gross Margin</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12,205</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11,900</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c>
          <w:tcPr>
            <w:tcW w:w="361"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Gross Margin Percentage</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74" w:type="dxa"/>
            <w:tcBorders/>
            <w:vAlign w:val="center"/>
          </w:tcPr>
          <w:p>
            <w:pPr>
              <w:pStyle w:val="TableContents"/>
              <w:bidi w:val="0"/>
              <w:spacing w:before="0" w:after="1"/>
              <w:ind w:left="0" w:right="0" w:hanging="0"/>
              <w:jc w:val="righ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34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bps</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4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Diluted EPS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0.44</w:t>
            </w:r>
          </w:p>
        </w:tc>
        <w:tc>
          <w:tcPr>
            <w:tcW w:w="374" w:type="dxa"/>
            <w:tcBorders/>
            <w:shd w:fill="CCEEFF" w:val="cle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(0.70)</w:t>
            </w:r>
          </w:p>
        </w:tc>
        <w:tc>
          <w:tcPr>
            <w:tcW w:w="361"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w:t>
            </w:r>
          </w:p>
        </w:tc>
      </w:tr>
      <w:tr>
        <w:trPr/>
        <w:tc>
          <w:tcPr>
            <w:tcW w:w="4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 Percentage</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bps</w:t>
            </w:r>
          </w:p>
        </w:tc>
        <w:tc>
          <w:tcPr>
            <w:tcW w:w="22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6.8%</w:t>
            </w:r>
          </w:p>
        </w:tc>
      </w:tr>
    </w:tbl>
    <w:p>
      <w:pPr>
        <w:pStyle w:val="TextBody"/>
        <w:bidi w:val="0"/>
        <w:spacing w:before="0" w:after="240"/>
        <w:ind w:left="0" w:right="0" w:hanging="0"/>
        <w:jc w:val="left"/>
        <w:rPr/>
      </w:pPr>
      <w:r>
        <w:rPr/>
        <w:t>​</w:t>
      </w:r>
    </w:p>
    <w:p>
      <w:pPr>
        <w:pStyle w:val="TextBody"/>
        <w:bidi w:val="0"/>
        <w:spacing w:lineRule="auto" w:line="240" w:before="0" w:after="240"/>
        <w:ind w:left="0" w:right="0" w:firstLine="720"/>
        <w:jc w:val="left"/>
        <w:rPr>
          <w:rFonts w:ascii="Times New Roman;Times;serif" w:hAnsi="Times New Roman;Times;serif"/>
          <w:sz w:val="14"/>
        </w:rPr>
      </w:pPr>
      <w:r>
        <w:rPr>
          <w:rFonts w:ascii="Times New Roman;Times;serif" w:hAnsi="Times New Roman;Times;serif"/>
          <w:sz w:val="11"/>
        </w:rPr>
        <w:t>(1) </w:t>
      </w:r>
      <w:r>
        <w:rPr>
          <w:rFonts w:ascii="Times New Roman;Times;serif" w:hAnsi="Times New Roman;Times;serif"/>
          <w:sz w:val="20"/>
        </w:rPr>
        <w:t>Non-GAAP Measures are defined in the “</w:t>
      </w:r>
      <w:r>
        <w:rPr>
          <w:rFonts w:ascii="Times New Roman;Times;serif" w:hAnsi="Times New Roman;Times;serif"/>
          <w:i/>
          <w:sz w:val="20"/>
        </w:rPr>
        <w:t>Non-GAAP Financial Measures Definitions</w:t>
      </w:r>
      <w:r>
        <w:rPr>
          <w:rFonts w:ascii="Times New Roman;Times;serif" w:hAnsi="Times New Roman;Times;serif"/>
          <w:sz w:val="14"/>
        </w:rPr>
        <w:t>” </w:t>
      </w:r>
      <w:r>
        <w:rPr>
          <w:rFonts w:ascii="Times New Roman;Times;serif" w:hAnsi="Times New Roman;Times;serif"/>
          <w:sz w:val="20"/>
        </w:rPr>
        <w:t>section. For a reconciliation of Adjusted EBITDA to net income, Adjusted Gross Margin to Gross Margin, and Adjusted Diluted EPS to Diluted EPS, to the most directly comparable GAAP measures, see the “</w:t>
      </w:r>
      <w:r>
        <w:rPr>
          <w:rFonts w:ascii="Times New Roman;Times;serif" w:hAnsi="Times New Roman;Times;serif"/>
          <w:i/>
          <w:sz w:val="20"/>
        </w:rPr>
        <w:t>Non-GAAP Financial Measures</w:t>
      </w:r>
      <w:r>
        <w:rPr>
          <w:rFonts w:ascii="Times New Roman;Times;serif" w:hAnsi="Times New Roman;Times;serif"/>
          <w:sz w:val="14"/>
        </w:rPr>
        <w:t>” </w:t>
      </w:r>
      <w:r>
        <w:rPr>
          <w:rFonts w:ascii="Times New Roman;Times;serif" w:hAnsi="Times New Roman;Times;serif"/>
          <w:sz w:val="20"/>
        </w:rPr>
        <w:t>section.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 Related Financial Measures and Performance Indicators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pacing w:val="4"/>
          <w:sz w:val="20"/>
        </w:rPr>
        <w:t xml:space="preserve">Patient Visits. </w:t>
      </w:r>
      <w:r>
        <w:rPr>
          <w:rFonts w:ascii="Times New Roman;Times;serif" w:hAnsi="Times New Roman;Times;serif"/>
          <w:sz w:val="20"/>
        </w:rPr>
        <w:t>A patient visit is counted when service is provided to a patient at one of our affiliated dental general dentistry practices. Measuring the year-over-year change in patient visits helps us to evaluate how the affiliated dental practices are performing. It also helps with evaluating demand for services which influences decision-making relating to matters such as appropriate staffing levels and recruiting needs. In addition, it influences decision-making processes relating to our marketing, sales and advertising strategies and helps us with evaluating the effectiveness of those strategies. Further, with respect to continuing care patient count, it allows us to evaluate the ability of affiliated dentists to encourage patients to complete their diagnosed dental treatment plans.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Patient visits for the three months ended March 31, 2026 were 178,527, an increase of 1.5% from 175,940 for the three months ended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pacing w:val="4"/>
          <w:sz w:val="20"/>
        </w:rPr>
        <w:t xml:space="preserve">Same Practice Revenue Growth. </w:t>
      </w:r>
      <w:r>
        <w:rPr>
          <w:rFonts w:ascii="Times New Roman;Times;serif" w:hAnsi="Times New Roman;Times;serif"/>
          <w:sz w:val="20"/>
        </w:rPr>
        <w:t>Same practice revenues represent total revenues for same dental practice locations that have been operating for at least 13 full months prior to the end of a given period and which have not been closed, or sold during such period. Measuring the year-over-year change in same practice revenues allows us to evaluate how affiliated dental practices are performing. We believe various factors affect comparable practice revenues, including patient demand for dental services, economic trends, dentist and hygienist staffing levels, availability of dentists and hygienists, pricing, competition, visibility and accessibility of the dental practices, quality of the tenants surrounding the dental practices, clinical hours and the level of patient service provided inside and outside of the dental practices.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Same Practice Revenue growth for the three months ended March 31, 2026 was 4.1%, or 290 bps higher than the 1.2% Same Practice Revenue growth for the three months ended March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pacing w:val="4"/>
          <w:sz w:val="20"/>
        </w:rPr>
        <w:t>Patient Retention Rate</w:t>
      </w:r>
      <w:r>
        <w:rPr>
          <w:rFonts w:ascii="Times New Roman;Times;serif" w:hAnsi="Times New Roman;Times;serif"/>
          <w:spacing w:val="4"/>
          <w:sz w:val="20"/>
        </w:rPr>
        <w:t xml:space="preserve">. </w:t>
      </w:r>
      <w:r>
        <w:rPr>
          <w:rFonts w:ascii="Times New Roman;Times;serif" w:hAnsi="Times New Roman;Times;serif"/>
          <w:sz w:val="20"/>
        </w:rPr>
        <w:t>Patient retention rate is calculated by counting patients that remain active at the beginning and end of a twelve-month period. Active patients are defined as general dentistry patients having been seen by our affiliated dental practices within the past 36 months, or last 18 months for patients under the age of 18. Patients who have not been seen by our affiliated dental practices within these time periods are removed from our active patient lists. This methodology is aligned with ADA clinical procedure codes, and is consistent with treatment protocols for new patients, before being considered an active patient again. Measuring the year-over-year and quarter-over-quarter change in patient retention allows us to evaluate the recurring nature of patient visits at the dental practices and affiliated dentists which influences decision-making around matters such as appropriate levels of staffing, recruiting, advertising and facility expansion opportunities.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 retention was stable with the retention rate for the three months ended March 31, 2026 at 90.1%, an increase of 90 bps from 89.2% for the three months ended March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Doctor Count.</w:t>
      </w:r>
      <w:r>
        <w:rPr>
          <w:rFonts w:ascii="Times New Roman;Times;serif" w:hAnsi="Times New Roman;Times;serif"/>
          <w:sz w:val="20"/>
        </w:rPr>
        <w:t xml:space="preserve"> Dentists operating in one of our affiliated dental practices are included in this calculation, which includes both full and part-time dentists. Measuring the year-over-year and quarter-over-quarter change in dentist count allows us to evaluate the production capacity of affiliated dental practices. It also influences decision-making relating to matters such as appropriate staffing levels and recruiting needs.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Doctor count as of March 31, 2026 was 221, eighteen higher than the March 31, 2025 doctor count of 203.</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Percentage,” “Adjusted Gross Margin,” “Adjusted Gross Margin Percentage,” “Adjusted Diluted EPS,” and “General and Administrative Expense Percentage,” collectively known as “the Non-GAAP Financial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 the Non-GAAP Financial Measures as supplemental measures of financial performance that are not required by, or presented in accordance with, GAAP. We believe these non-GAAP measures assist investors and analysts in comparing our operating performance across reporting periods on a consistent basis by excluding items that we do not believe are indicative of our operating performance. Management believes the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 Non-GAAP Financial Measures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Non-GAAP Financial Measures are not recognized terms under GAAP and should not be considered as alternatives to net income (loss) or gross margin as measures of financial performance or cash provided by operating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 All measurements are provided with a reconciliation from a GAAP measurement.</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 Definitions</w:t>
      </w:r>
    </w:p>
    <w:p>
      <w:pPr>
        <w:pStyle w:val="TextBody"/>
        <w:bidi w:val="0"/>
        <w:spacing w:before="0" w:after="240"/>
        <w:ind w:left="0" w:right="0" w:firstLine="360"/>
        <w:jc w:val="left"/>
        <w:rPr/>
      </w:pPr>
      <w:r>
        <w:rPr/>
        <w:t>“</w:t>
      </w:r>
      <w:r>
        <w:rPr>
          <w:rFonts w:ascii="Times New Roman;Times;serif" w:hAnsi="Times New Roman;Times;serif"/>
          <w:sz w:val="20"/>
        </w:rPr>
        <w:t>Adjusted EBITDA” is defined as net income (loss) adjusted to exclude interest expense (income), net, provision for (benefit from) income taxes, depreciation and amortization, share based compensation, discretionary shareholder bonuses, non-qualified deferred compensation expenses, and restructuring costs.</w:t>
      </w:r>
    </w:p>
    <w:p>
      <w:pPr>
        <w:pStyle w:val="TextBody"/>
        <w:bidi w:val="0"/>
        <w:spacing w:before="0" w:after="240"/>
        <w:ind w:left="0" w:right="0" w:firstLine="360"/>
        <w:jc w:val="left"/>
        <w:rPr/>
      </w:pPr>
      <w:r>
        <w:rPr/>
        <w:t>“</w:t>
      </w:r>
      <w:r>
        <w:rPr>
          <w:rFonts w:ascii="Times New Roman;Times;serif" w:hAnsi="Times New Roman;Times;serif"/>
          <w:sz w:val="20"/>
        </w:rPr>
        <w:t>Adjusted EBITDA Percentage” is defined as Adjusted EBITDA as a percentage of consolidated revenue.</w:t>
      </w:r>
    </w:p>
    <w:p>
      <w:pPr>
        <w:pStyle w:val="TextBody"/>
        <w:bidi w:val="0"/>
        <w:spacing w:before="0" w:after="240"/>
        <w:ind w:left="0" w:right="0" w:firstLine="360"/>
        <w:jc w:val="left"/>
        <w:rPr/>
      </w:pPr>
      <w:r>
        <w:rPr/>
        <w:t>“</w:t>
      </w:r>
      <w:r>
        <w:rPr>
          <w:rFonts w:ascii="Times New Roman;Times;serif" w:hAnsi="Times New Roman;Times;serif"/>
          <w:sz w:val="20"/>
        </w:rPr>
        <w:t>Adjusted Gross Margin” is defined as Gross Margin excluding depreciation expense, share based compensation, discretionary shareholder bonuses, non-qualified deferred compensation expenses, and restructuring costs.</w:t>
      </w:r>
    </w:p>
    <w:p>
      <w:pPr>
        <w:pStyle w:val="TextBody"/>
        <w:bidi w:val="0"/>
        <w:spacing w:before="0" w:after="240"/>
        <w:ind w:left="0" w:right="0" w:firstLine="360"/>
        <w:jc w:val="left"/>
        <w:rPr/>
      </w:pPr>
      <w:r>
        <w:rPr/>
        <w:t>“</w:t>
      </w:r>
      <w:r>
        <w:rPr>
          <w:rFonts w:ascii="Times New Roman;Times;serif" w:hAnsi="Times New Roman;Times;serif"/>
          <w:sz w:val="20"/>
        </w:rPr>
        <w:t>Adjusted Gross Margin Percentage” is defined as Adjusted Gross Margin as a percentage of consolidated revenue.</w:t>
      </w:r>
    </w:p>
    <w:p>
      <w:pPr>
        <w:pStyle w:val="TextBody"/>
        <w:bidi w:val="0"/>
        <w:spacing w:before="0" w:after="240"/>
        <w:ind w:left="0" w:right="0" w:firstLine="360"/>
        <w:jc w:val="left"/>
        <w:rPr/>
      </w:pPr>
      <w:r>
        <w:rPr/>
        <w:t>“</w:t>
      </w:r>
      <w:r>
        <w:rPr>
          <w:rFonts w:ascii="Times New Roman;Times;serif" w:hAnsi="Times New Roman;Times;serif"/>
          <w:sz w:val="20"/>
        </w:rPr>
        <w:t>Adjusted Diluted EPS” is defined as Diluted EPS adjusted to exclude share based compensation, restructuring costs, non-qualified deferred compensation expenses, and the income tax effect of those adjustments at our estimated long-term annual effective tax rate.</w:t>
      </w:r>
    </w:p>
    <w:p>
      <w:pPr>
        <w:pStyle w:val="TextBody"/>
        <w:bidi w:val="0"/>
        <w:spacing w:before="0" w:after="240"/>
        <w:ind w:left="0" w:right="0" w:firstLine="360"/>
        <w:jc w:val="left"/>
        <w:rPr/>
      </w:pPr>
      <w:r>
        <w:rPr/>
        <w:t>“</w:t>
      </w:r>
      <w:r>
        <w:rPr>
          <w:rFonts w:ascii="Times New Roman;Times;serif" w:hAnsi="Times New Roman;Times;serif"/>
          <w:sz w:val="20"/>
        </w:rPr>
        <w:t>General and Administrative Expense Percentage” is defined as General and Administrative expenses as a percentage of consolidated revenue.</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 for the three months ended March 31,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net income (loss) attributable to Park Dental Partners, Inc. determined in accordance with GAAP to Adjusted EBITDA:</w:t>
      </w:r>
    </w:p>
    <w:tbl>
      <w:tblPr>
        <w:tblW w:w="7424" w:type="dxa"/>
        <w:jc w:val="left"/>
        <w:tblInd w:w="0" w:type="dxa"/>
        <w:tblLayout w:type="fixed"/>
        <w:tblCellMar>
          <w:top w:w="0" w:type="dxa"/>
          <w:left w:w="0" w:type="dxa"/>
          <w:bottom w:w="0" w:type="dxa"/>
          <w:right w:w="0" w:type="dxa"/>
        </w:tblCellMar>
      </w:tblPr>
      <w:tblGrid>
        <w:gridCol w:w="4801"/>
        <w:gridCol w:w="346"/>
        <w:gridCol w:w="228"/>
        <w:gridCol w:w="749"/>
        <w:gridCol w:w="375"/>
        <w:gridCol w:w="228"/>
        <w:gridCol w:w="697"/>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048635" cy="175260"/>
                      <wp:effectExtent l="0" t="0" r="0" b="0"/>
                      <wp:wrapNone/>
                      <wp:docPr id="258" name="Frame25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4780" cy="175260"/>
                      <wp:effectExtent l="0" t="0" r="0" b="0"/>
                      <wp:wrapNone/>
                      <wp:docPr id="260" name="Frame26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75615" cy="175260"/>
                      <wp:effectExtent l="0" t="0" r="0" b="0"/>
                      <wp:wrapNone/>
                      <wp:docPr id="261" name="Frame261"/>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38125" cy="175260"/>
                      <wp:effectExtent l="0" t="0" r="0" b="0"/>
                      <wp:wrapNone/>
                      <wp:docPr id="262" name="Frame26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4780" cy="175260"/>
                      <wp:effectExtent l="0" t="0" r="0" b="0"/>
                      <wp:wrapNone/>
                      <wp:docPr id="263" name="Frame26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42595" cy="175260"/>
                      <wp:effectExtent l="0" t="0" r="0" b="0"/>
                      <wp:wrapNone/>
                      <wp:docPr id="264" name="Frame264"/>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 to Adjusted EBITDA</w:t>
            </w:r>
          </w:p>
        </w:tc>
        <w:tc>
          <w:tcPr>
            <w:tcW w:w="346" w:type="dxa"/>
            <w:tcBorders/>
            <w:vAlign w:val="center"/>
          </w:tcPr>
          <w:p>
            <w:pPr>
              <w:pStyle w:val="TableContents"/>
              <w:bidi w:val="0"/>
              <w:spacing w:before="0" w:after="0"/>
              <w:ind w:left="0" w:right="0" w:hanging="0"/>
              <w:jc w:val="left"/>
              <w:rPr/>
            </w:pPr>
            <w:r>
              <w:rPr/>
              <w:t>​</w:t>
            </w:r>
          </w:p>
        </w:tc>
        <w:tc>
          <w:tcPr>
            <w:tcW w:w="22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5" w:type="dxa"/>
            <w:tcBorders/>
            <w:vAlign w:val="center"/>
          </w:tcPr>
          <w:p>
            <w:pPr>
              <w:pStyle w:val="TableContents"/>
              <w:bidi w:val="0"/>
              <w:spacing w:before="0" w:after="0"/>
              <w:ind w:left="0" w:right="0" w:hanging="0"/>
              <w:jc w:val="center"/>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Park Dental Partners, Inc.</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Addback/(Deduct):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4,823</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Percentage</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9.3%</w:t>
            </w:r>
          </w:p>
        </w:tc>
      </w:tr>
    </w:tbl>
    <w:p>
      <w:pPr>
        <w:pStyle w:val="TextBody"/>
        <w:bidi w:val="0"/>
        <w:spacing w:before="0" w:after="240"/>
        <w:ind w:left="0" w:right="0" w:firstLine="360"/>
        <w:jc w:val="left"/>
        <w:rPr/>
      </w:pPr>
      <w:r>
        <w:rPr/>
        <w:t>​</w:t>
      </w:r>
    </w:p>
    <w:p>
      <w:pPr>
        <w:pStyle w:val="TextBody"/>
        <w:bidi w:val="0"/>
        <w:spacing w:lineRule="auto" w:line="240" w:before="0" w:after="240"/>
        <w:ind w:left="0" w:right="0" w:firstLine="360"/>
        <w:jc w:val="left"/>
        <w:rPr>
          <w:rFonts w:ascii="Times New Roman;Times;serif" w:hAnsi="Times New Roman;Times;serif"/>
          <w:sz w:val="14"/>
        </w:rPr>
      </w:pPr>
      <w:r>
        <w:rPr>
          <w:rFonts w:ascii="Times New Roman;Times;serif" w:hAnsi="Times New Roman;Times;serif"/>
          <w:sz w:val="11"/>
        </w:rPr>
        <w:t>(1) </w:t>
      </w:r>
      <w:r>
        <w:rPr>
          <w:rFonts w:ascii="Times New Roman;Times;serif" w:hAnsi="Times New Roman;Times;serif"/>
          <w:sz w:val="20"/>
        </w:rPr>
        <w:t>Restructuring costs primarily consist of expenses incurred in connection with the Company’s initial public offering completed on December 4, 2025 and gains and losses from the disposal of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EBITDA. </w:t>
      </w:r>
      <w:r>
        <w:rPr>
          <w:rFonts w:ascii="Times New Roman;Times;serif" w:hAnsi="Times New Roman;Times;serif"/>
          <w:sz w:val="20"/>
        </w:rPr>
        <w:t xml:space="preserve">Adjusted EBITDA for the three months ended March 31, 2026 was $4.7 million, a decrease of $0.7 million from the $5.5 million Adjusted EBITDA for the three months ended March 31, 2025, primarily due to the $1.0 million increase in general and administrative expenses after adjustment, offset in part by the $0.3 million increased Adjusted Gross margin. The increase in general and administrative expenses after adjustments is due to a $0.4 million increase in professional fees, and a $0.2 million increase in salaries and wages after adjustments, and $0.3 million higher marketing and travel. Measuring the year-over-year change in Adjusted EBITDA allows us to evaluate the overall operating performance of affiliated dental practices on a consistent basis. It also influences our decision-making process on allocation of resources and helps us evaluate the effectiveness of our strategies.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EBITDA Percentage. </w:t>
      </w:r>
      <w:r>
        <w:rPr>
          <w:rFonts w:ascii="Times New Roman;Times;serif" w:hAnsi="Times New Roman;Times;serif"/>
          <w:sz w:val="20"/>
        </w:rPr>
        <w:t>Adjusted EBITDA Percentage for the three months ended March 31, 2026 was 7.6%, a 170 basis point decrease from 9.3% for the three months ended March 31, 2025, attributable primarily due to an increase in general and administrative expenses after adjustments.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Gross Margin determined in accordance with GAAP to Adjusted Gross Margin</w:t>
      </w:r>
    </w:p>
    <w:tbl>
      <w:tblPr>
        <w:tblW w:w="5686" w:type="dxa"/>
        <w:jc w:val="left"/>
        <w:tblInd w:w="0" w:type="dxa"/>
        <w:tblLayout w:type="fixed"/>
        <w:tblCellMar>
          <w:top w:w="0" w:type="dxa"/>
          <w:left w:w="0" w:type="dxa"/>
          <w:bottom w:w="0" w:type="dxa"/>
          <w:right w:w="0" w:type="dxa"/>
        </w:tblCellMar>
      </w:tblPr>
      <w:tblGrid>
        <w:gridCol w:w="3061"/>
        <w:gridCol w:w="346"/>
        <w:gridCol w:w="219"/>
        <w:gridCol w:w="703"/>
        <w:gridCol w:w="360"/>
        <w:gridCol w:w="219"/>
        <w:gridCol w:w="778"/>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943735" cy="175260"/>
                      <wp:effectExtent l="0" t="0" r="0" b="0"/>
                      <wp:wrapNone/>
                      <wp:docPr id="265" name="Frame265"/>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9065" cy="175260"/>
                      <wp:effectExtent l="0" t="0" r="0" b="0"/>
                      <wp:wrapNone/>
                      <wp:docPr id="267" name="Frame26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46405" cy="175260"/>
                      <wp:effectExtent l="0" t="0" r="0" b="0"/>
                      <wp:wrapNone/>
                      <wp:docPr id="268" name="Frame26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8600" cy="175260"/>
                      <wp:effectExtent l="0" t="0" r="0" b="0"/>
                      <wp:wrapNone/>
                      <wp:docPr id="269" name="Frame2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9065" cy="175260"/>
                      <wp:effectExtent l="0" t="0" r="0" b="0"/>
                      <wp:wrapNone/>
                      <wp:docPr id="270" name="Frame27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4030" cy="175260"/>
                      <wp:effectExtent l="0" t="0" r="0" b="0"/>
                      <wp:wrapNone/>
                      <wp:docPr id="271" name="Frame27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Margin to Adjusted Gross Margin</w:t>
            </w:r>
          </w:p>
        </w:tc>
        <w:tc>
          <w:tcPr>
            <w:tcW w:w="346" w:type="dxa"/>
            <w:tcBorders/>
            <w:vAlign w:val="center"/>
          </w:tcPr>
          <w:p>
            <w:pPr>
              <w:pStyle w:val="TableContents"/>
              <w:bidi w:val="0"/>
              <w:spacing w:before="0" w:after="0"/>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0" w:type="dxa"/>
            <w:tcBorders/>
            <w:vAlign w:val="center"/>
          </w:tcPr>
          <w:p>
            <w:pPr>
              <w:pStyle w:val="TableContents"/>
              <w:bidi w:val="0"/>
              <w:spacing w:before="0" w:after="0"/>
              <w:ind w:left="0" w:right="0" w:hanging="0"/>
              <w:jc w:val="center"/>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Addback:</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60"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12,205</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Gross Margin Percentage</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60"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Gross Margin.</w:t>
      </w:r>
      <w:r>
        <w:rPr>
          <w:rFonts w:ascii="Times New Roman;Times;serif" w:hAnsi="Times New Roman;Times;serif"/>
          <w:sz w:val="20"/>
        </w:rPr>
        <w:t> Adjusted Gross Margin for the three months ended March 31, 2026 was $12.2 million, an increase of $0.3 million, or 2.6%, from $11.9 million for the three months ended March 31, 2025, attributable to increased revenue of $3.7 million, partially offset by a $2.5 million increase in salaries and wages after adjustments. Measuring the year-over-year change in Adjusted Gross Margin allows us to evaluate the profitability of affiliated dental practices and their performance. It also influences our decision-making process related to cost management strategies and helps us evaluate the effectiveness of those strategies.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Gross Margin Percentage. </w:t>
      </w:r>
      <w:r>
        <w:rPr>
          <w:rFonts w:ascii="Times New Roman;Times;serif" w:hAnsi="Times New Roman;Times;serif"/>
          <w:sz w:val="20"/>
        </w:rPr>
        <w:t>Adjusted Gross Margin Percentage for the three months ended March 31, 2026 was 19.5%, a 70 basis point decrease from 20.2% for the three months ended March 31, 2025, primarily reflecting an increase in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Diluted EPS determined in accordance with GAAP to Adjusted Diluted EPS:</w:t>
      </w:r>
    </w:p>
    <w:tbl>
      <w:tblPr>
        <w:tblW w:w="10205" w:type="dxa"/>
        <w:jc w:val="left"/>
        <w:tblInd w:w="0" w:type="dxa"/>
        <w:tblLayout w:type="fixed"/>
        <w:tblCellMar>
          <w:top w:w="0" w:type="dxa"/>
          <w:left w:w="0" w:type="dxa"/>
          <w:bottom w:w="0" w:type="dxa"/>
          <w:right w:w="0" w:type="dxa"/>
        </w:tblCellMar>
      </w:tblPr>
      <w:tblGrid>
        <w:gridCol w:w="7421"/>
        <w:gridCol w:w="109"/>
        <w:gridCol w:w="211"/>
        <w:gridCol w:w="931"/>
        <w:gridCol w:w="346"/>
        <w:gridCol w:w="211"/>
        <w:gridCol w:w="976"/>
      </w:tblGrid>
      <w:tr>
        <w:trPr/>
        <w:tc>
          <w:tcPr>
            <w:tcW w:w="7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712335" cy="175260"/>
                      <wp:effectExtent l="0" t="0" r="0" b="0"/>
                      <wp:wrapNone/>
                      <wp:docPr id="272" name="Frame272"/>
                      <a:graphic xmlns:a="http://schemas.openxmlformats.org/drawingml/2006/main">
                        <a:graphicData uri="http://schemas.microsoft.com/office/word/2010/wordprocessingShape">
                          <wps:wsp>
                            <wps:cNvSpPr txBox="1"/>
                            <wps:spPr>
                              <a:xfrm>
                                <a:off x="0" y="0"/>
                                <a:ext cx="471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91185" cy="175260"/>
                      <wp:effectExtent l="0" t="0" r="0" b="0"/>
                      <wp:wrapNone/>
                      <wp:docPr id="275" name="Frame2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19760" cy="175260"/>
                      <wp:effectExtent l="0" t="0" r="0" b="0"/>
                      <wp:wrapNone/>
                      <wp:docPr id="278" name="Frame2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7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Diluted EPS to Adjusted Diluted EPS</w:t>
            </w:r>
          </w:p>
        </w:tc>
        <w:tc>
          <w:tcPr>
            <w:tcW w:w="109"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7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7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Income tax effect of the Adjustments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7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Weighted Average Diluted Shares - Reconciliation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7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GAAP NET (LOSS) EARNINGS PER SHARE, DILUTED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4,383,073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1,783,352</w:t>
            </w:r>
          </w:p>
        </w:tc>
      </w:tr>
      <w:tr>
        <w:trPr/>
        <w:tc>
          <w:tcPr>
            <w:tcW w:w="7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WEIGHTED AVERAGE DILUTED SHARES USED IN COMPUTING ADJUSTED EARNINGS PER SHARE, DILUTED</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6,059,839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1,783,352</w:t>
            </w:r>
          </w:p>
        </w:tc>
      </w:tr>
      <w:tr>
        <w:trPr/>
        <w:tc>
          <w:tcPr>
            <w:tcW w:w="7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240"/>
        <w:ind w:left="0" w:right="0" w:firstLine="360"/>
        <w:jc w:val="left"/>
        <w:rPr/>
      </w:pPr>
      <w:r>
        <w:rPr/>
        <w:t>​</w:t>
      </w:r>
    </w:p>
    <w:p>
      <w:pPr>
        <w:pStyle w:val="TextBody"/>
        <w:bidi w:val="0"/>
        <w:spacing w:lineRule="auto" w:line="240" w:before="0" w:after="240"/>
        <w:ind w:left="0" w:right="0" w:firstLine="360"/>
        <w:jc w:val="left"/>
        <w:rPr>
          <w:rFonts w:ascii="Times New Roman;Times;serif" w:hAnsi="Times New Roman;Times;serif"/>
          <w:sz w:val="14"/>
        </w:rPr>
      </w:pPr>
      <w:r>
        <w:rPr>
          <w:rFonts w:ascii="Times New Roman;Times;serif" w:hAnsi="Times New Roman;Times;serif"/>
          <w:sz w:val="11"/>
        </w:rPr>
        <w:t>(1) </w:t>
      </w:r>
      <w:r>
        <w:rPr>
          <w:rFonts w:ascii="Times New Roman;Times;serif" w:hAnsi="Times New Roman;Times;serif"/>
          <w:sz w:val="20"/>
        </w:rPr>
        <w:t>Income tax effect is based on an estimated long-term annual effective tax rate of 28% tax rate for the three months ended March 31, 2026 and 2025. The Company's estimated long-term annual effective tax rate excludes certain non-cash items such as share based compensation arrangements, and is used in order to provide consistency across periods.</w:t>
      </w:r>
    </w:p>
    <w:p>
      <w:pPr>
        <w:pStyle w:val="TextBody"/>
        <w:bidi w:val="0"/>
        <w:spacing w:lineRule="auto" w:line="240" w:before="0" w:after="240"/>
        <w:ind w:left="0" w:right="0" w:firstLine="360"/>
        <w:jc w:val="left"/>
        <w:rPr>
          <w:rFonts w:ascii="Times New Roman;Times;serif" w:hAnsi="Times New Roman;Times;serif"/>
          <w:sz w:val="14"/>
        </w:rPr>
      </w:pPr>
      <w:r>
        <w:rPr>
          <w:rFonts w:ascii="Times New Roman;Times;serif" w:hAnsi="Times New Roman;Times;serif"/>
          <w:sz w:val="11"/>
        </w:rPr>
        <w:t>(2) </w:t>
      </w:r>
      <w:r>
        <w:rPr>
          <w:rFonts w:ascii="Times New Roman;Times;serif" w:hAnsi="Times New Roman;Times;serif"/>
          <w:sz w:val="20"/>
        </w:rPr>
        <w:t>Includes an additional 1,584,666 of weighted average dilutive shares and 92,100 of weighted average dilutive warrants for the three months ended March 31, 2026, that are excluded from a GAAP perspective due to the Company's net loss in that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Diluted EPS. </w:t>
      </w:r>
      <w:r>
        <w:rPr>
          <w:rFonts w:ascii="Times New Roman;Times;serif" w:hAnsi="Times New Roman;Times;serif"/>
          <w:sz w:val="20"/>
        </w:rPr>
        <w:t>Adjusted Diluted EPS for the three months ended March 31, 2026 was $0.44, a $0.70 decrease from $1.14 for the three months ended March 31, 2025, primarily due to an increase in the weighted average dilutive securities used in computing adjusted diluted earnings per share due to the Company’s IPO in December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 Percentage. </w:t>
      </w:r>
      <w:r>
        <w:rPr>
          <w:rFonts w:ascii="Times New Roman;Times;serif" w:hAnsi="Times New Roman;Times;serif"/>
          <w:sz w:val="20"/>
        </w:rPr>
        <w:t>General and Administrative Expense Percentage for the three months ended March 31, 2026 was 12.5%, a 80 basis point increase from 11.7% for the three months ended March 31, 2025. This increase is attributable to higher share based compensation costs related to becoming a publicly-traded company in the fourth quarter of 2025, $0.4 million increase in professional fees, and a $0.2 million increase in salaries and wages, and $0.3 million higher marketing and travel, net of $0.5 million lower costs associated with our 2025 initial public offering.</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finance our operations and growth through a combination of cash provided by operating activities and borrowings under our revolving loan facility. Cash and cash equivalents was $24.4 million at March 31, 2026, and $25.2 million at December 31, 2025. At March 31, 2026 and December 31, 2025, we had total outstanding borrowings under our debt arrangements of approximately $11.5 million and $12.0 million, respectively. Unused availability under our line of credit was approximately $15 million at March 31, 2026.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existing cash and our expected cash flows from operations will be sufficient to meet our cash needs for at least the next 12 months. Over the longer term, our future capital requirements will depend on many factors, including our growth rate, the timing and extent of our dental services expenditures, the continuing market acceptance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offerings, and any investments or acquisitions we may choose to pursue in the future. In the event that we need to borrow funds or issue additional equity, we cannot be assured that any such additional financing will be available on terms acceptable to us, if at all. In addition, any future borrowings may result in additional restrictions on our business and any issuance of additional equity would result in dilution to investors. If we are unable to raise additional capital when desired and on terms acceptable to us, our business, results of operations, and financial condition could be materially and adversely affected</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flows provided by operating activities were $5.0 million for the three months ended March 31, 2026, compared to $5.9 million for the three months ended March 31, 2025. The $0.9 million decrease in cash flows provided by operating activities was due primarily to a decrease in changes in operating assets and liabilities of $2.7 million, offset in part by a $0.8 million increase in net income (loss) after adjustments for non-cash items.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Cashflows used in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investing activities are primarily related to capital expenditures for practice growth and expansion, replacing obsolescent assets, and adding capital improvements in existing facilities and technology related projects. Cash flows used in investing activities were $4.8 million and $3.1 million for the three months ended March 31, 2026 and 2025, respectively. Cash used in investing activities increased due to $1.6 million higher consideration paid for business acquisitions and an increase of $0.6 million due to notes issued in the first quarter of 2026, offset in part by a $0.4 million decrease in premiums paid on life insurance.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Cashflows used 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flows used in financing activities primarily reflect our borrowings and repayments under our current and prior credit facilities which were refinanced in March 2024, and amended subsequently in February 2026. Cash flows used in financing activities for the three months ended March 31, 2026 were $1.1 million compared to $2.0 million for the three months ended March 31, 2025. The $0.9 million change in finance cash usage reflected decreased checks issued in excess of cash of $0.7 million and a decrease of $0.2 million for share repurchases.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Outstanding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Amounts outstanding under our bank term loan were $9.3 million and $9.8 million at March 31, 2026, and December 31, 2025, respectively. During the three months ended March 31, 2026 we made scheduled principal payments of $0.5 million. At both March 31, 2026, and December 31, 2025, we had no outstanding balance under the line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27, 2024, we entered into a new credit agreement which amended the existing agreement and provided for a new $13.0 million term loan and amended the line of credit to $15.0 million from the prior $23 million. The term loan matures in March 2029 and carries an interest rate equal to the one-month SOFR rate plus 2.10%. The amended agreement also provides for an accordion right to increase the term loan by an additional $10 million. The amended line of credit extended the maturity from March 2024 to March 2027 and carries an interest rate equal to the one-month SOFR rate plus 2.00%.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13, 2026, the Company entered into an amendment to its credit agreement. The amendment extends availability under the line of credit to March 27, 2029, updates certain financial covenants and definitions, and provides consent for the formation of a new subsidiary.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agreement requires, among other things, that we comply with a minimum fixed charge coverage ratio and a total cash flow leverage ratio. In addition, the agreement contains standard negative covenants that, among other things, limit our ability to undertake individual business combinations in excess of specified limits; incur and pay certain indebtedness; create, incur, or assume certain liens and negative pledges; sell, lease, convey, transfer or otherwise dispose of certain assets; liquidate or dissolve any of our subsidiaries; make certain loans and investments; make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dividends and redemptions; substantially change the nature of our business; and effect certain changes in ownership or control beyond specified thresholds.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were in compliance with all covenants specified in the credit agreement at March 31, 2026 and December 31, 2025 including the fixed charge coverage and cash flow leverage ratios. We believe, based on our current financial forecasts and trends, that we will remain compliant with all covenants for the foreseeable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obligations under the credit facilities are secured by a first priority lien on substantially all of our tangible and intangible assets and the tangible and intangible business assets of the affiliated dental practices.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aforementioned credit facilities, we have secured notes payable of $2.2 million due to related parties and certain current and former shareholders. The principal is due at maturity and interest is due quarterly through October 1, 2037. Interest is equal to the greater of 14% of the principal balance or an amount based on a formula using average dentist compensation or a formula based on total revenue. The effective interest rate for 2026 is 24.5% compared to 25.7% in 2025. The notes are secured by all of our business assets and the affiliated dental practices and are subordinated to the bank term loan and the line of credit. The notes have significant prepayment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liquidity are cash provided by operations and available borrowings under our revolving loan facility. The management fees we receive from affiliated dental practices and their reimbursement to us of certain costs we incur on their behalf are our primary source of cash from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Deferred Compensation</w:t>
      </w:r>
      <w:r>
        <w:rPr>
          <w:rFonts w:ascii="Times New Roman;Times;serif" w:hAnsi="Times New Roman;Times;serif"/>
          <w:sz w:val="20"/>
        </w:rPr>
        <w:t> — Our deferred compensation obligation, including current and non-current obligations was $69.8 million and $70.6 million at March 31, 2026 and December 31, 2025, respectively, and primarily consisted of active non-qualified deferred compensation plans and other inactive deferred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Non-qualified Deferred Compensation Plans </w:t>
      </w:r>
      <w:r>
        <w:rPr>
          <w:rFonts w:ascii="Times New Roman;Times;serif" w:hAnsi="Times New Roman;Times;serif"/>
          <w:sz w:val="20"/>
        </w:rPr>
        <w:t>— We and our affiliated dental practices utilize non-qualified deferred compensation plans that provide participants the opportunity to defer compensation on a pretax basis. Benefit payments to participants are available upon termination of employment, disability, death, unforeseeable emergencies, a change-in-control event, as defined, or qualified planned in-service distributions. The agreement provides eligible participants the option to receive payment in a lump sum distribution or up to five annual installments. Participants are immediately 100% vested in their voluntary deferred compensation contributions. Participants are fully vested in employer credits after five years of service. Participant accounts are credited with deferred compensation contributions and earnings thereon, as defined. At March 31, 2026 and December 31, 2025, the total deferred compensation liability related to the non-qualified deferred compensation plans was $22.7 million and $23.0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Deferred Compensation Plans</w:t>
      </w:r>
      <w:r>
        <w:rPr>
          <w:rFonts w:ascii="Times New Roman;Times;serif" w:hAnsi="Times New Roman;Times;serif"/>
          <w:sz w:val="20"/>
        </w:rPr>
        <w:t xml:space="preserve"> – </w:t>
      </w:r>
      <w:r>
        <w:rPr>
          <w:rFonts w:ascii="Times New Roman;Times;serif" w:hAnsi="Times New Roman;Times;serif"/>
          <w:i/>
          <w:sz w:val="20"/>
        </w:rPr>
        <w:t>Inactive</w:t>
      </w:r>
      <w:r>
        <w:rPr>
          <w:rFonts w:ascii="Times New Roman;Times;serif" w:hAnsi="Times New Roman;Times;serif"/>
          <w:sz w:val="20"/>
        </w:rPr>
        <w:t xml:space="preserve"> — Our affiliated dental practices have profession and executive deferred compensation plans, and have executed employment agreements with certain dentists, executives and professional employees. These agreements provided for the creation of deferred compensation balances for eligible employees in the event of separation from service. These plans were frozen prior to January 1, 2024. At March 31, 2026 and December 31, 2025, the total of these other inactive deferred compensation plans were $47.0 million and $47.6 million, respectively. This deferred compensation value is fixed and non-interest bearing. The deferred compensation balances are generally to be paid over a period of five years from the date of the participants separation from the groups, subject to certain limitation. One plan, comprising the significant majority of the balance has an annual maximum cap on payments at 2% of the respective Company’s annual adjusted gross revenue, as defined in the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not adopted any new accounting standards in the three months ended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 to the Company’s condensed consolidated financial statements for a discussion of recently issued but not yet adopted accounting pronouncements.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0" w:name="Item3QuantitativeandQualitativeDisclosur"/>
      <w:bookmarkStart w:id="931" w:name="_d3771c40_2787_4909_b91d_ae86cef499f2"/>
      <w:bookmarkEnd w:id="930"/>
      <w:bookmarkEnd w:id="931"/>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as defined in Rule 12b-2 of the Exchange Act, we are not required to provide the information called for by this Item.</w:t>
      </w:r>
    </w:p>
    <w:p>
      <w:pPr>
        <w:pStyle w:val="TextBody"/>
        <w:bidi w:val="0"/>
        <w:spacing w:before="0" w:after="240"/>
        <w:ind w:left="0" w:right="0" w:hanging="0"/>
        <w:jc w:val="left"/>
        <w:rPr>
          <w:rFonts w:ascii="Times New Roman;Times;serif" w:hAnsi="Times New Roman;Times;serif"/>
          <w:b/>
          <w:sz w:val="20"/>
        </w:rPr>
      </w:pPr>
      <w:bookmarkStart w:id="932" w:name="Item4ControlsandProcedures_951758"/>
      <w:bookmarkStart w:id="933" w:name="_72fd8806_c4b9_470c_a56b_8f4b3b6febdb"/>
      <w:bookmarkEnd w:id="932"/>
      <w:bookmarkEnd w:id="933"/>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Effectiveness of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2026, our disclosure controls and procedures were effective to provide reasonable assurance that information required to be disclosed by the Company in reports that it files or submits under the Exchange Act is recorded, processed, summarized, and reported within the time periods specified in SEC rules and forms, and is accumulated and communicated to management, including its principal executive officer and principal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significant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Effectiveness of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including our Chief Executive Officer (principal executive officer) and our Chief Financial Officer (principal accounting and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Because of the inherent limitations in a cost-effective control system, misstatements due to error or fraud may occur and not be detected.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34" w:name="PARTIIOTHERINFORMATION_996238"/>
      <w:bookmarkStart w:id="935" w:name="_9a287bf3_eee8_41bc_afd1_36e7995630c8"/>
      <w:bookmarkEnd w:id="934"/>
      <w:bookmarkEnd w:id="935"/>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936" w:name="Item1LegalProceedings_301166"/>
      <w:bookmarkEnd w:id="936"/>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our affiliated dental practices have been named as a defendant in lawsuits from time to time in the normal course of business, primarily for employment liability, alleged negligence in care or general liability and contractual business disputes. We do not believe any pending lawsuits will have a material adverse effect on our operating results, cash flows, liquidity or financial position.</w:t>
      </w:r>
    </w:p>
    <w:p>
      <w:pPr>
        <w:pStyle w:val="TextBody"/>
        <w:bidi w:val="0"/>
        <w:spacing w:before="0" w:after="240"/>
        <w:ind w:left="0" w:right="0" w:firstLine="360"/>
        <w:jc w:val="left"/>
        <w:rPr>
          <w:rFonts w:ascii="TimesNewRoman" w:hAnsi="TimesNewRoman"/>
          <w:sz w:val="20"/>
        </w:rPr>
      </w:pPr>
      <w:r>
        <w:rPr>
          <w:rFonts w:ascii="TimesNewRoman" w:hAnsi="TimesNewRoman"/>
          <w:sz w:val="20"/>
        </w:rPr>
        <w:t xml:space="preserve">In 2024, multiple claims were filed against us in state and federal courts in Minnesota based on a data breach event. Subsequently, certain of the claims were dismissed; however, the putative class action suit in Minnesota District Court entitled, In re Park Dental Data Breach Litigation, Case No. 27-CV-24-12335, Fourth Judicial District, County of Hennepin, State of Minnesota continues. We anticipate the settlement of this matter is now probable. We expect the settlement, net of insurance recoveries, will have an immaterial impact to our financial statements as we anticipate the costs to settle will be fully recovered under our insurance policy coverage. </w:t>
      </w:r>
    </w:p>
    <w:p>
      <w:pPr>
        <w:pStyle w:val="TextBody"/>
        <w:bidi w:val="0"/>
        <w:spacing w:before="0" w:after="240"/>
        <w:ind w:left="0" w:right="0" w:hanging="0"/>
        <w:jc w:val="left"/>
        <w:rPr>
          <w:rFonts w:ascii="Times New Roman;Times;serif" w:hAnsi="Times New Roman;Times;serif"/>
          <w:b/>
          <w:sz w:val="20"/>
        </w:rPr>
      </w:pPr>
      <w:bookmarkStart w:id="937" w:name="Item1ARiskFactors_592728"/>
      <w:bookmarkStart w:id="938" w:name="_b860cd37_3142_4bbc_ae3b_7af92812cc5a"/>
      <w:bookmarkEnd w:id="937"/>
      <w:bookmarkEnd w:id="938"/>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and other cautionary statements described in “Item 1A. Risk Factors” in our Annual Report, which could materially affect our business, financial condition or future results. There have been no material changes to the risk factors described in our Annual Report.</w:t>
      </w:r>
    </w:p>
    <w:p>
      <w:pPr>
        <w:pStyle w:val="TextBody"/>
        <w:bidi w:val="0"/>
        <w:spacing w:before="0" w:after="240"/>
        <w:ind w:left="0" w:right="0" w:hanging="0"/>
        <w:jc w:val="left"/>
        <w:rPr>
          <w:rFonts w:ascii="Times New Roman;Times;serif" w:hAnsi="Times New Roman;Times;serif"/>
          <w:b/>
          <w:sz w:val="20"/>
        </w:rPr>
      </w:pPr>
      <w:bookmarkStart w:id="939" w:name="Item2UnregisteredSalesofEquitySecurities"/>
      <w:bookmarkStart w:id="940" w:name="_8892260b_e2cf_4b73_9016_ade3fb26fb92"/>
      <w:bookmarkEnd w:id="939"/>
      <w:bookmarkEnd w:id="940"/>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repurchase any of its common stock during the quarter ended March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in the use of proceeds from our initial public offering as previously disclosed in our Annual Report.</w:t>
      </w:r>
    </w:p>
    <w:p>
      <w:pPr>
        <w:pStyle w:val="TextBody"/>
        <w:bidi w:val="0"/>
        <w:spacing w:before="0" w:after="240"/>
        <w:ind w:left="0" w:right="0" w:hanging="0"/>
        <w:jc w:val="left"/>
        <w:rPr>
          <w:rFonts w:ascii="Times New Roman;Times;serif" w:hAnsi="Times New Roman;Times;serif"/>
          <w:b/>
          <w:sz w:val="20"/>
        </w:rPr>
      </w:pPr>
      <w:bookmarkStart w:id="941" w:name="_f4258b6f_37d4_482f_a0bb_7d1e18782cf0"/>
      <w:bookmarkStart w:id="942" w:name="Item3DefaultsUponSeniorSecurities"/>
      <w:bookmarkEnd w:id="941"/>
      <w:bookmarkEnd w:id="942"/>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3" w:name="Item4MineSafetyDisclosures_963621"/>
      <w:bookmarkStart w:id="944" w:name="_03d38925_230a_4027_85b1_81588b2cee34"/>
      <w:bookmarkEnd w:id="943"/>
      <w:bookmarkEnd w:id="944"/>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45" w:name="Item5Otherinformation_405304"/>
      <w:bookmarkStart w:id="946" w:name="_9aa4777c_93bd_40fd_9f56_e4669819aae7"/>
      <w:bookmarkEnd w:id="945"/>
      <w:bookmarkEnd w:id="946"/>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Insider Trading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quarter ended March 31, 2026, none of our directors or officers (as defined in Section 16 of the Exchange Act), adopted or terminated a “Rule 10b5-1 trading arrangement” or a “non-Rule 10b5-1 trading arrangement” (each as defined in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7" w:name="Item6Exhibits_388558"/>
      <w:bookmarkStart w:id="948" w:name="_9ab2c296_e551_4901_a5de_69197863039e"/>
      <w:bookmarkEnd w:id="947"/>
      <w:bookmarkEnd w:id="948"/>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(a)Exhibits</w:t>
      </w:r>
    </w:p>
    <w:tbl>
      <w:tblPr>
        <w:tblW w:w="10205" w:type="dxa"/>
        <w:jc w:val="left"/>
        <w:tblInd w:w="0" w:type="dxa"/>
        <w:tblLayout w:type="fixed"/>
        <w:tblCellMar>
          <w:top w:w="0" w:type="dxa"/>
          <w:left w:w="0" w:type="dxa"/>
          <w:bottom w:w="0" w:type="dxa"/>
          <w:right w:w="0" w:type="dxa"/>
        </w:tblCellMar>
      </w:tblPr>
      <w:tblGrid>
        <w:gridCol w:w="790"/>
        <w:gridCol w:w="6982"/>
        <w:gridCol w:w="526"/>
        <w:gridCol w:w="676"/>
        <w:gridCol w:w="1231"/>
      </w:tblGrid>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6982" w:type="dxa"/>
            <w:tcBorders/>
            <w:vAlign w:val="center"/>
          </w:tcPr>
          <w:p>
            <w:pPr>
              <w:pStyle w:val="TableContents"/>
              <w:bidi w:val="0"/>
              <w:spacing w:before="0" w:after="283"/>
              <w:ind w:left="0" w:right="0" w:hanging="0"/>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Exhibit No.</w:t>
            </w:r>
          </w:p>
        </w:tc>
        <w:tc>
          <w:tcPr>
            <w:tcW w:w="6982"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Filed with the SEC</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w:t>
            </w:r>
          </w:p>
        </w:tc>
        <w:tc>
          <w:tcPr>
            <w:tcW w:w="6982" w:type="dxa"/>
            <w:tcBorders/>
            <w:shd w:fill="CCEE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Fourth Amended and Restated Articles of Incorporation of Park Dental Partners, Inc.</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3.3</w:t>
            </w:r>
          </w:p>
        </w:tc>
        <w:tc>
          <w:tcPr>
            <w:tcW w:w="698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8"/>
                </w:rPr>
                <w:t>Bylaws of Park Dental Partners, Inc., dated October 31, 2023</w:t>
              </w:r>
            </w:hyperlink>
            <w:r>
              <w:rPr>
                <w:rFonts w:ascii="Times New Roman;Times;serif" w:hAnsi="Times New Roman;Times;serif"/>
                <w:sz w:val="18"/>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3.4</w:t>
            </w:r>
          </w:p>
        </w:tc>
        <w:tc>
          <w:tcPr>
            <w:tcW w:w="6982"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2"/>
                </w:rPr>
                <w:t>Amendment No. 1 to Bylaws of Park Dental Partners, Inc., dated December 4, 2024.</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4.2</w:t>
            </w:r>
          </w:p>
        </w:tc>
        <w:tc>
          <w:tcPr>
            <w:tcW w:w="698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2"/>
                </w:rPr>
                <w:t>Form of Representatives' Warrant.</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12/04/2025</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w:t>
            </w:r>
          </w:p>
        </w:tc>
        <w:tc>
          <w:tcPr>
            <w:tcW w:w="6982"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2"/>
                </w:rPr>
                <w:t>Amended and Restated Credit Agreement, dated March 27, 2024, by and among Park Dental Partners, Inc., certain affiliated borrower entities, and U.S. Bank National Association.</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10.2</w:t>
            </w:r>
          </w:p>
        </w:tc>
        <w:tc>
          <w:tcPr>
            <w:tcW w:w="6982"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2"/>
                </w:rPr>
                <w:t>Amendment Agreement, dated as of February 13, 2026 (effective January 1, 2026), by and among Park Dental Partners, Inc., certain affiliated borrower entities, and U.S. Bank National Association.</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02/19/2026</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10.3</w:t>
            </w:r>
          </w:p>
        </w:tc>
        <w:tc>
          <w:tcPr>
            <w:tcW w:w="6982" w:type="dxa"/>
            <w:tcBorders/>
            <w:shd w:fill="CCEEFF" w:val="clear"/>
            <w:vAlign w:val="center"/>
          </w:tcPr>
          <w:p>
            <w:pPr>
              <w:pStyle w:val="TableContents"/>
              <w:bidi w:val="0"/>
              <w:spacing w:before="0" w:after="0"/>
              <w:ind w:left="0" w:right="0" w:hanging="0"/>
              <w:jc w:val="left"/>
              <w:rPr/>
            </w:pPr>
            <w:hyperlink w:anchor="park-20260331xex10d3.htm">
              <w:r>
                <w:rPr>
                  <w:rStyle w:val="InternetLink"/>
                  <w:rFonts w:ascii="Times New Roman;Times;serif" w:hAnsi="Times New Roman;Times;serif"/>
                  <w:b w:val="false"/>
                  <w:i w:val="false"/>
                  <w:caps w:val="false"/>
                  <w:smallCaps w:val="false"/>
                  <w:sz w:val="22"/>
                </w:rPr>
                <w:t>Second Amendment Agreement, dated as of April 30, 2026, by and among Park Dental Partners, Inc., certain affiliated borrower entities, and U.S. Bank National Association.</w:t>
              </w:r>
            </w:hyperlink>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31.1</w:t>
            </w:r>
          </w:p>
        </w:tc>
        <w:tc>
          <w:tcPr>
            <w:tcW w:w="6982" w:type="dxa"/>
            <w:tcBorders/>
            <w:vAlign w:val="center"/>
          </w:tcPr>
          <w:p>
            <w:pPr>
              <w:pStyle w:val="TableContents"/>
              <w:bidi w:val="0"/>
              <w:spacing w:before="0" w:after="0"/>
              <w:ind w:left="0" w:right="0" w:hanging="0"/>
              <w:jc w:val="left"/>
              <w:rPr/>
            </w:pPr>
            <w:hyperlink w:anchor="park-20260331xex31d1.htm">
              <w:r>
                <w:rPr>
                  <w:rStyle w:val="InternetLink"/>
                  <w:rFonts w:ascii="Times New Roman;Times;serif" w:hAnsi="Times New Roman;Times;serif"/>
                  <w:b w:val="false"/>
                  <w:i w:val="false"/>
                  <w:caps w:val="false"/>
                  <w:smallCaps w:val="false"/>
                  <w:sz w:val="22"/>
                </w:rPr>
                <w:t>Certification of Chief Executive Officer pursuant to Section 302 of the Sarbanes-Oxley Act of 2002.</w:t>
              </w:r>
            </w:hyperlink>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31.2</w:t>
            </w:r>
          </w:p>
        </w:tc>
        <w:tc>
          <w:tcPr>
            <w:tcW w:w="6982" w:type="dxa"/>
            <w:tcBorders/>
            <w:shd w:fill="CCEEFF" w:val="clear"/>
            <w:vAlign w:val="center"/>
          </w:tcPr>
          <w:p>
            <w:pPr>
              <w:pStyle w:val="TableContents"/>
              <w:bidi w:val="0"/>
              <w:spacing w:before="0" w:after="0"/>
              <w:ind w:left="0" w:right="0" w:hanging="0"/>
              <w:jc w:val="left"/>
              <w:rPr/>
            </w:pPr>
            <w:hyperlink w:anchor="park-20260331xex31d2.htm">
              <w:r>
                <w:rPr>
                  <w:rStyle w:val="InternetLink"/>
                  <w:rFonts w:ascii="Times New Roman;Times;serif" w:hAnsi="Times New Roman;Times;serif"/>
                  <w:b w:val="false"/>
                  <w:i w:val="false"/>
                  <w:caps w:val="false"/>
                  <w:smallCaps w:val="false"/>
                  <w:sz w:val="22"/>
                </w:rPr>
                <w:t>Certification of Chief Financial Officer pursuant to Section 302 of the Sarbanes-Oxley Act of 2002.</w:t>
              </w:r>
            </w:hyperlink>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32.1</w:t>
            </w:r>
          </w:p>
        </w:tc>
        <w:tc>
          <w:tcPr>
            <w:tcW w:w="6982" w:type="dxa"/>
            <w:tcBorders/>
            <w:vAlign w:val="center"/>
          </w:tcPr>
          <w:p>
            <w:pPr>
              <w:pStyle w:val="TableContents"/>
              <w:bidi w:val="0"/>
              <w:spacing w:before="0" w:after="0"/>
              <w:ind w:left="0" w:right="0" w:hanging="0"/>
              <w:jc w:val="left"/>
              <w:rPr/>
            </w:pPr>
            <w:hyperlink w:anchor="park-20260331xex32d1.htm">
              <w:r>
                <w:rPr>
                  <w:rStyle w:val="InternetLink"/>
                  <w:rFonts w:ascii="Times New Roman;Times;serif" w:hAnsi="Times New Roman;Times;serif"/>
                  <w:b w:val="false"/>
                  <w:i w:val="false"/>
                  <w:caps w:val="false"/>
                  <w:smallCaps w:val="false"/>
                  <w:sz w:val="22"/>
                </w:rPr>
                <w:t>Certification of Chief Executive Officer pursuant to 18 U.S.C. Section 1350, as adopted pursuant to Section 906 of the Sarbanes-Oxley Act of 2002.</w:t>
              </w:r>
            </w:hyperlink>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Furnished herewith</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32.2</w:t>
            </w:r>
          </w:p>
        </w:tc>
        <w:tc>
          <w:tcPr>
            <w:tcW w:w="6982" w:type="dxa"/>
            <w:tcBorders/>
            <w:shd w:fill="CCEEFF" w:val="clear"/>
            <w:vAlign w:val="center"/>
          </w:tcPr>
          <w:p>
            <w:pPr>
              <w:pStyle w:val="TableContents"/>
              <w:bidi w:val="0"/>
              <w:spacing w:before="0" w:after="0"/>
              <w:ind w:left="0" w:right="0" w:hanging="0"/>
              <w:jc w:val="left"/>
              <w:rPr/>
            </w:pPr>
            <w:hyperlink w:anchor="park-20260331xex32d2.htm">
              <w:r>
                <w:rPr>
                  <w:rStyle w:val="InternetLink"/>
                  <w:rFonts w:ascii="Times New Roman;Times;serif" w:hAnsi="Times New Roman;Times;serif"/>
                  <w:b w:val="false"/>
                  <w:i w:val="false"/>
                  <w:caps w:val="false"/>
                  <w:smallCaps w:val="false"/>
                  <w:sz w:val="22"/>
                </w:rPr>
                <w:t>Certification of Chief Financial Officer pursuant to 18 U.S.C. Section 1350, as adopted pursuant to Section 906 of the Sarbanes-Oxley Act of 2002.</w:t>
              </w:r>
            </w:hyperlink>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Furnished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101.INS</w:t>
            </w:r>
          </w:p>
        </w:tc>
        <w:tc>
          <w:tcPr>
            <w:tcW w:w="69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 the instance document does not appear in the Interactive Data File because its XBRL tags are embedded within the Inline XBRL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101.SCH</w:t>
            </w:r>
          </w:p>
        </w:tc>
        <w:tc>
          <w:tcPr>
            <w:tcW w:w="69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101.CAL</w:t>
            </w:r>
          </w:p>
        </w:tc>
        <w:tc>
          <w:tcPr>
            <w:tcW w:w="69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101.DEF</w:t>
            </w:r>
          </w:p>
        </w:tc>
        <w:tc>
          <w:tcPr>
            <w:tcW w:w="69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101.LAB</w:t>
            </w:r>
          </w:p>
        </w:tc>
        <w:tc>
          <w:tcPr>
            <w:tcW w:w="69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101.PRE</w:t>
            </w:r>
          </w:p>
        </w:tc>
        <w:tc>
          <w:tcPr>
            <w:tcW w:w="69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90"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104</w:t>
            </w:r>
          </w:p>
        </w:tc>
        <w:tc>
          <w:tcPr>
            <w:tcW w:w="69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49" w:name="_9929e108_f24e_45da_8a98_5926340b7db6"/>
      <w:bookmarkStart w:id="950" w:name="Signatures"/>
      <w:bookmarkEnd w:id="949"/>
      <w:bookmarkEnd w:id="950"/>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87" w:type="dxa"/>
        <w:jc w:val="left"/>
        <w:tblInd w:w="0" w:type="dxa"/>
        <w:tblLayout w:type="fixed"/>
        <w:tblCellMar>
          <w:top w:w="0" w:type="dxa"/>
          <w:left w:w="0" w:type="dxa"/>
          <w:bottom w:w="0" w:type="dxa"/>
          <w:right w:w="0" w:type="dxa"/>
        </w:tblCellMar>
      </w:tblPr>
      <w:tblGrid>
        <w:gridCol w:w="1741"/>
        <w:gridCol w:w="5146"/>
      </w:tblGrid>
      <w:tr>
        <w:trPr/>
        <w:tc>
          <w:tcPr>
            <w:tcW w:w="174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INC.</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514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Bernander</w:t>
            </w:r>
          </w:p>
        </w:tc>
      </w:tr>
      <w:tr>
        <w:trPr/>
        <w:tc>
          <w:tcPr>
            <w:tcW w:w="1741"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Bernander, 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bookmarkStart w:id="951" w:name="park-20260331xex10d3.htm"/>
      <w:bookmarkStart w:id="952" w:name="kspark20260331xex10d3"/>
      <w:bookmarkEnd w:id="951"/>
      <w:bookmarkEnd w:id="952"/>
      <w:r>
        <w:rPr/>
        <w:t>​</w:t>
      </w:r>
      <w:r>
        <w:br w:type="page"/>
      </w:r>
    </w:p>
    <w:p>
      <w:pPr>
        <w:pStyle w:val="TextBody"/>
        <w:bidi w:val="0"/>
        <w:spacing w:before="80" w:after="0"/>
        <w:ind w:left="0" w:right="358" w:hanging="0"/>
        <w:jc w:val="right"/>
        <w:rPr>
          <w:rFonts w:ascii="Times New Roman;Times;serif" w:hAnsi="Times New Roman;Times;serif"/>
          <w:b/>
          <w:smallCaps/>
          <w:sz w:val="22"/>
        </w:rPr>
      </w:pPr>
      <w:r>
        <w:rPr>
          <w:rFonts w:ascii="Times New Roman;Times;serif" w:hAnsi="Times New Roman;Times;serif"/>
          <w:b/>
          <w:smallCaps/>
          <w:sz w:val="22"/>
        </w:rPr>
        <w:t>Exhibit 10.3</w:t>
      </w:r>
    </w:p>
    <w:p>
      <w:pPr>
        <w:pStyle w:val="TextBody"/>
        <w:bidi w:val="0"/>
        <w:spacing w:before="80" w:after="0"/>
        <w:ind w:left="0" w:right="358" w:hanging="0"/>
        <w:jc w:val="right"/>
        <w:rPr>
          <w:rFonts w:ascii="Times New Roman;Times;serif" w:hAnsi="Times New Roman;Times;serif"/>
          <w:b/>
          <w:sz w:val="22"/>
        </w:rPr>
      </w:pPr>
      <w:r>
        <w:rPr>
          <w:rFonts w:ascii="Times New Roman;Times;serif" w:hAnsi="Times New Roman;Times;serif"/>
          <w:b/>
          <w:smallCaps/>
          <w:sz w:val="22"/>
        </w:rPr>
        <w:t>Execution</w:t>
      </w:r>
      <w:r>
        <w:rPr>
          <w:rFonts w:ascii="Times New Roman;Times;serif" w:hAnsi="Times New Roman;Times;serif"/>
          <w:b/>
          <w:smallCaps/>
          <w:spacing w:val="-8"/>
          <w:sz w:val="22"/>
        </w:rPr>
        <w:t xml:space="preserve"> </w:t>
      </w:r>
      <w:r>
        <w:rPr>
          <w:rFonts w:ascii="Times New Roman;Times;serif" w:hAnsi="Times New Roman;Times;serif"/>
          <w:b/>
          <w:smallCaps/>
          <w:spacing w:val="-2"/>
          <w:sz w:val="22"/>
        </w:rPr>
        <w:t>Version</w:t>
      </w:r>
    </w:p>
    <w:p>
      <w:pPr>
        <w:pStyle w:val="TextBody"/>
        <w:bidi w:val="0"/>
        <w:spacing w:before="240" w:after="283"/>
        <w:ind w:left="0" w:right="0" w:hanging="0"/>
        <w:jc w:val="left"/>
        <w:rPr/>
      </w:pPr>
      <w:r>
        <w:rPr/>
        <w:t>​</w:t>
      </w:r>
    </w:p>
    <w:p>
      <w:pPr>
        <w:pStyle w:val="TextBody"/>
        <w:bidi w:val="0"/>
        <w:spacing w:before="1" w:after="0"/>
        <w:ind w:left="0" w:right="1" w:hanging="0"/>
        <w:jc w:val="center"/>
        <w:rPr>
          <w:rFonts w:ascii="Times New Roman;Times;serif" w:hAnsi="Times New Roman;Times;serif"/>
          <w:sz w:val="22"/>
        </w:rPr>
      </w:pPr>
      <w:r>
        <w:rPr>
          <w:rFonts w:ascii="Times New Roman;Times;serif" w:hAnsi="Times New Roman;Times;serif"/>
          <w:b/>
          <w:spacing w:val="-2"/>
          <w:sz w:val="22"/>
        </w:rPr>
        <w:t>SECOND AMENDMENT</w:t>
      </w:r>
      <w:r>
        <w:rPr>
          <w:rFonts w:ascii="Times New Roman;Times;serif" w:hAnsi="Times New Roman;Times;serif"/>
          <w:spacing w:val="-1"/>
          <w:sz w:val="22"/>
        </w:rPr>
        <w:t xml:space="preserve"> </w:t>
      </w:r>
      <w:r>
        <w:rPr>
          <w:rFonts w:ascii="Times New Roman;Times;serif" w:hAnsi="Times New Roman;Times;serif"/>
          <w:b/>
          <w:spacing w:val="-2"/>
          <w:sz w:val="22"/>
        </w:rPr>
        <w:t>AGREEMENT</w:t>
      </w:r>
    </w:p>
    <w:p>
      <w:pPr>
        <w:pStyle w:val="TextBody"/>
        <w:bidi w:val="0"/>
        <w:spacing w:before="240" w:after="0"/>
        <w:ind w:left="360" w:right="355" w:firstLine="719"/>
        <w:jc w:val="both"/>
        <w:rPr>
          <w:rFonts w:ascii="Times New Roman;Times;serif" w:hAnsi="Times New Roman;Times;serif"/>
          <w:sz w:val="22"/>
        </w:rPr>
      </w:pPr>
      <w:r>
        <w:rPr>
          <w:rFonts w:ascii="Times New Roman;Times;serif" w:hAnsi="Times New Roman;Times;serif"/>
          <w:sz w:val="22"/>
        </w:rPr>
        <w:t>THIS</w:t>
      </w:r>
      <w:r>
        <w:rPr>
          <w:rFonts w:ascii="Times New Roman;Times;serif" w:hAnsi="Times New Roman;Times;serif"/>
          <w:spacing w:val="-2"/>
          <w:sz w:val="22"/>
        </w:rPr>
        <w:t xml:space="preserve"> </w:t>
      </w:r>
      <w:r>
        <w:rPr>
          <w:rFonts w:ascii="Times New Roman;Times;serif" w:hAnsi="Times New Roman;Times;serif"/>
          <w:sz w:val="22"/>
        </w:rPr>
        <w:t>SECOND</w:t>
      </w:r>
      <w:r>
        <w:rPr>
          <w:rFonts w:ascii="Times New Roman;Times;serif" w:hAnsi="Times New Roman;Times;serif"/>
          <w:spacing w:val="-2"/>
          <w:sz w:val="22"/>
        </w:rPr>
        <w:t xml:space="preserve"> </w:t>
      </w:r>
      <w:r>
        <w:rPr>
          <w:rFonts w:ascii="Times New Roman;Times;serif" w:hAnsi="Times New Roman;Times;serif"/>
          <w:sz w:val="22"/>
        </w:rPr>
        <w:t>AMENDMENT</w:t>
      </w:r>
      <w:r>
        <w:rPr>
          <w:rFonts w:ascii="Times New Roman;Times;serif" w:hAnsi="Times New Roman;Times;serif"/>
          <w:spacing w:val="-2"/>
          <w:sz w:val="22"/>
        </w:rPr>
        <w:t xml:space="preserve"> </w:t>
      </w:r>
      <w:r>
        <w:rPr>
          <w:rFonts w:ascii="Times New Roman;Times;serif" w:hAnsi="Times New Roman;Times;serif"/>
          <w:sz w:val="22"/>
        </w:rPr>
        <w:t>AGREEMENT</w:t>
      </w:r>
      <w:r>
        <w:rPr>
          <w:rFonts w:ascii="Times New Roman;Times;serif" w:hAnsi="Times New Roman;Times;serif"/>
          <w:spacing w:val="-2"/>
          <w:sz w:val="22"/>
        </w:rPr>
        <w:t xml:space="preserve"> </w:t>
      </w:r>
      <w:r>
        <w:rPr>
          <w:rFonts w:ascii="Times New Roman;Times;serif" w:hAnsi="Times New Roman;Times;serif"/>
          <w:sz w:val="22"/>
        </w:rPr>
        <w:t>(this</w:t>
      </w:r>
      <w:r>
        <w:rPr>
          <w:rFonts w:ascii="Times New Roman;Times;serif" w:hAnsi="Times New Roman;Times;serif"/>
          <w:spacing w:val="-2"/>
          <w:sz w:val="22"/>
        </w:rPr>
        <w:t xml:space="preserve"> </w:t>
      </w:r>
      <w:r>
        <w:rPr>
          <w:rFonts w:ascii="Times New Roman;Times;serif" w:hAnsi="Times New Roman;Times;serif"/>
          <w:sz w:val="22"/>
        </w:rPr>
        <w:t>“Amendment”)</w:t>
      </w:r>
      <w:r>
        <w:rPr>
          <w:rFonts w:ascii="Times New Roman;Times;serif" w:hAnsi="Times New Roman;Times;serif"/>
          <w:spacing w:val="-2"/>
          <w:sz w:val="22"/>
        </w:rPr>
        <w:t xml:space="preserve"> </w:t>
      </w:r>
      <w:r>
        <w:rPr>
          <w:rFonts w:ascii="Times New Roman;Times;serif" w:hAnsi="Times New Roman;Times;serif"/>
          <w:sz w:val="22"/>
        </w:rPr>
        <w:t>is</w:t>
      </w:r>
      <w:r>
        <w:rPr>
          <w:rFonts w:ascii="Times New Roman;Times;serif" w:hAnsi="Times New Roman;Times;serif"/>
          <w:spacing w:val="-2"/>
          <w:sz w:val="22"/>
        </w:rPr>
        <w:t xml:space="preserve"> </w:t>
      </w:r>
      <w:r>
        <w:rPr>
          <w:rFonts w:ascii="Times New Roman;Times;serif" w:hAnsi="Times New Roman;Times;serif"/>
          <w:sz w:val="22"/>
        </w:rPr>
        <w:t>made</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entered</w:t>
      </w:r>
      <w:r>
        <w:rPr>
          <w:rFonts w:ascii="Times New Roman;Times;serif" w:hAnsi="Times New Roman;Times;serif"/>
          <w:spacing w:val="-2"/>
          <w:sz w:val="22"/>
        </w:rPr>
        <w:t xml:space="preserve"> </w:t>
      </w:r>
      <w:r>
        <w:rPr>
          <w:rFonts w:ascii="Times New Roman;Times;serif" w:hAnsi="Times New Roman;Times;serif"/>
          <w:sz w:val="22"/>
        </w:rPr>
        <w:t>into</w:t>
      </w:r>
      <w:r>
        <w:rPr>
          <w:rFonts w:ascii="Times New Roman;Times;serif" w:hAnsi="Times New Roman;Times;serif"/>
          <w:spacing w:val="-2"/>
          <w:sz w:val="22"/>
        </w:rPr>
        <w:t xml:space="preserve"> </w:t>
      </w:r>
      <w:r>
        <w:rPr>
          <w:rFonts w:ascii="Times New Roman;Times;serif" w:hAnsi="Times New Roman;Times;serif"/>
          <w:sz w:val="22"/>
        </w:rPr>
        <w:t>as of April 30, 2026, by and among PDG, P.A., a Minnesota professional association (“PDG”), DENTAL SPECIALISTS OF MINNESOTA, PLLC, a Minnesota professional limited liability company (“Dental Specialists”), ORTHODONTIC SPECIALISTS OF MINNESOTA, PLLC, a Minnesota professional limited</w:t>
      </w:r>
      <w:r>
        <w:rPr>
          <w:rFonts w:ascii="Times New Roman;Times;serif" w:hAnsi="Times New Roman;Times;serif"/>
          <w:spacing w:val="-2"/>
          <w:sz w:val="22"/>
        </w:rPr>
        <w:t xml:space="preserve"> </w:t>
      </w:r>
      <w:r>
        <w:rPr>
          <w:rFonts w:ascii="Times New Roman;Times;serif" w:hAnsi="Times New Roman;Times;serif"/>
          <w:sz w:val="22"/>
        </w:rPr>
        <w:t>liability</w:t>
      </w:r>
      <w:r>
        <w:rPr>
          <w:rFonts w:ascii="Times New Roman;Times;serif" w:hAnsi="Times New Roman;Times;serif"/>
          <w:spacing w:val="-2"/>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(“OSM”),</w:t>
      </w:r>
      <w:r>
        <w:rPr>
          <w:rFonts w:ascii="Times New Roman;Times;serif" w:hAnsi="Times New Roman;Times;serif"/>
          <w:spacing w:val="-2"/>
          <w:sz w:val="22"/>
        </w:rPr>
        <w:t xml:space="preserve"> </w:t>
      </w:r>
      <w:r>
        <w:rPr>
          <w:rFonts w:ascii="Times New Roman;Times;serif" w:hAnsi="Times New Roman;Times;serif"/>
          <w:sz w:val="22"/>
        </w:rPr>
        <w:t>PARK</w:t>
      </w:r>
      <w:r>
        <w:rPr>
          <w:rFonts w:ascii="Times New Roman;Times;serif" w:hAnsi="Times New Roman;Times;serif"/>
          <w:spacing w:val="-2"/>
          <w:sz w:val="22"/>
        </w:rPr>
        <w:t xml:space="preserve"> </w:t>
      </w:r>
      <w:r>
        <w:rPr>
          <w:rFonts w:ascii="Times New Roman;Times;serif" w:hAnsi="Times New Roman;Times;serif"/>
          <w:sz w:val="22"/>
        </w:rPr>
        <w:t>DENTAL</w:t>
      </w:r>
      <w:r>
        <w:rPr>
          <w:rFonts w:ascii="Times New Roman;Times;serif" w:hAnsi="Times New Roman;Times;serif"/>
          <w:spacing w:val="-2"/>
          <w:sz w:val="22"/>
        </w:rPr>
        <w:t xml:space="preserve"> </w:t>
      </w:r>
      <w:r>
        <w:rPr>
          <w:rFonts w:ascii="Times New Roman;Times;serif" w:hAnsi="Times New Roman;Times;serif"/>
          <w:sz w:val="22"/>
        </w:rPr>
        <w:t>PARTNERS,</w:t>
      </w:r>
      <w:r>
        <w:rPr>
          <w:rFonts w:ascii="Times New Roman;Times;serif" w:hAnsi="Times New Roman;Times;serif"/>
          <w:spacing w:val="-2"/>
          <w:sz w:val="22"/>
        </w:rPr>
        <w:t xml:space="preserve"> </w:t>
      </w:r>
      <w:r>
        <w:rPr>
          <w:rFonts w:ascii="Times New Roman;Times;serif" w:hAnsi="Times New Roman;Times;serif"/>
          <w:sz w:val="22"/>
        </w:rPr>
        <w:t>INC.,</w:t>
      </w:r>
      <w:r>
        <w:rPr>
          <w:rFonts w:ascii="Times New Roman;Times;serif" w:hAnsi="Times New Roman;Times;serif"/>
          <w:spacing w:val="-2"/>
          <w:sz w:val="22"/>
        </w:rPr>
        <w:t xml:space="preserve"> </w:t>
      </w:r>
      <w:r>
        <w:rPr>
          <w:rFonts w:ascii="Times New Roman;Times;serif" w:hAnsi="Times New Roman;Times;serif"/>
          <w:sz w:val="22"/>
        </w:rPr>
        <w:t>a</w:t>
      </w:r>
      <w:r>
        <w:rPr>
          <w:rFonts w:ascii="Times New Roman;Times;serif" w:hAnsi="Times New Roman;Times;serif"/>
          <w:spacing w:val="-2"/>
          <w:sz w:val="22"/>
        </w:rPr>
        <w:t xml:space="preserve"> </w:t>
      </w:r>
      <w:r>
        <w:rPr>
          <w:rFonts w:ascii="Times New Roman;Times;serif" w:hAnsi="Times New Roman;Times;serif"/>
          <w:sz w:val="22"/>
        </w:rPr>
        <w:t>Minnesota</w:t>
      </w:r>
      <w:r>
        <w:rPr>
          <w:rFonts w:ascii="Times New Roman;Times;serif" w:hAnsi="Times New Roman;Times;serif"/>
          <w:spacing w:val="-2"/>
          <w:sz w:val="22"/>
        </w:rPr>
        <w:t xml:space="preserve"> </w:t>
      </w:r>
      <w:r>
        <w:rPr>
          <w:rFonts w:ascii="Times New Roman;Times;serif" w:hAnsi="Times New Roman;Times;serif"/>
          <w:sz w:val="22"/>
        </w:rPr>
        <w:t>corporation</w:t>
      </w:r>
      <w:r>
        <w:rPr>
          <w:rFonts w:ascii="Times New Roman;Times;serif" w:hAnsi="Times New Roman;Times;serif"/>
          <w:spacing w:val="-2"/>
          <w:sz w:val="22"/>
        </w:rPr>
        <w:t xml:space="preserve"> </w:t>
      </w:r>
      <w:r>
        <w:rPr>
          <w:rFonts w:ascii="Times New Roman;Times;serif" w:hAnsi="Times New Roman;Times;serif"/>
          <w:sz w:val="22"/>
        </w:rPr>
        <w:t>(“Park Dental Partners”), THE FACIAL PAIN CENTER, PLLC, a Minnesota professional limited liability company</w:t>
      </w:r>
      <w:r>
        <w:rPr>
          <w:rFonts w:ascii="Times New Roman;Times;serif" w:hAnsi="Times New Roman;Times;serif"/>
          <w:spacing w:val="-7"/>
          <w:sz w:val="22"/>
        </w:rPr>
        <w:t xml:space="preserve"> </w:t>
      </w:r>
      <w:r>
        <w:rPr>
          <w:rFonts w:ascii="Times New Roman;Times;serif" w:hAnsi="Times New Roman;Times;serif"/>
          <w:sz w:val="22"/>
        </w:rPr>
        <w:t>(“Facial</w:t>
      </w:r>
      <w:r>
        <w:rPr>
          <w:rFonts w:ascii="Times New Roman;Times;serif" w:hAnsi="Times New Roman;Times;serif"/>
          <w:spacing w:val="-7"/>
          <w:sz w:val="22"/>
        </w:rPr>
        <w:t xml:space="preserve"> </w:t>
      </w:r>
      <w:r>
        <w:rPr>
          <w:rFonts w:ascii="Times New Roman;Times;serif" w:hAnsi="Times New Roman;Times;serif"/>
          <w:sz w:val="22"/>
        </w:rPr>
        <w:t>PC”),</w:t>
      </w:r>
      <w:r>
        <w:rPr>
          <w:rFonts w:ascii="Times New Roman;Times;serif" w:hAnsi="Times New Roman;Times;serif"/>
          <w:spacing w:val="-7"/>
          <w:sz w:val="22"/>
        </w:rPr>
        <w:t xml:space="preserve"> </w:t>
      </w:r>
      <w:r>
        <w:rPr>
          <w:rFonts w:ascii="Times New Roman;Times;serif" w:hAnsi="Times New Roman;Times;serif"/>
          <w:sz w:val="22"/>
        </w:rPr>
        <w:t>PDP</w:t>
      </w:r>
      <w:r>
        <w:rPr>
          <w:rFonts w:ascii="Times New Roman;Times;serif" w:hAnsi="Times New Roman;Times;serif"/>
          <w:spacing w:val="-7"/>
          <w:sz w:val="22"/>
        </w:rPr>
        <w:t xml:space="preserve"> </w:t>
      </w:r>
      <w:r>
        <w:rPr>
          <w:rFonts w:ascii="Times New Roman;Times;serif" w:hAnsi="Times New Roman;Times;serif"/>
          <w:sz w:val="22"/>
        </w:rPr>
        <w:t>MN,</w:t>
      </w:r>
      <w:r>
        <w:rPr>
          <w:rFonts w:ascii="Times New Roman;Times;serif" w:hAnsi="Times New Roman;Times;serif"/>
          <w:spacing w:val="-7"/>
          <w:sz w:val="22"/>
        </w:rPr>
        <w:t xml:space="preserve"> </w:t>
      </w:r>
      <w:r>
        <w:rPr>
          <w:rFonts w:ascii="Times New Roman;Times;serif" w:hAnsi="Times New Roman;Times;serif"/>
          <w:sz w:val="22"/>
        </w:rPr>
        <w:t>LLC,</w:t>
      </w:r>
      <w:r>
        <w:rPr>
          <w:rFonts w:ascii="Times New Roman;Times;serif" w:hAnsi="Times New Roman;Times;serif"/>
          <w:spacing w:val="-7"/>
          <w:sz w:val="22"/>
        </w:rPr>
        <w:t xml:space="preserve"> </w:t>
      </w:r>
      <w:r>
        <w:rPr>
          <w:rFonts w:ascii="Times New Roman;Times;serif" w:hAnsi="Times New Roman;Times;serif"/>
          <w:sz w:val="22"/>
        </w:rPr>
        <w:t>a</w:t>
      </w:r>
      <w:r>
        <w:rPr>
          <w:rFonts w:ascii="Times New Roman;Times;serif" w:hAnsi="Times New Roman;Times;serif"/>
          <w:spacing w:val="-7"/>
          <w:sz w:val="22"/>
        </w:rPr>
        <w:t xml:space="preserve"> </w:t>
      </w:r>
      <w:r>
        <w:rPr>
          <w:rFonts w:ascii="Times New Roman;Times;serif" w:hAnsi="Times New Roman;Times;serif"/>
          <w:sz w:val="22"/>
        </w:rPr>
        <w:t>Minnesota</w:t>
      </w:r>
      <w:r>
        <w:rPr>
          <w:rFonts w:ascii="Times New Roman;Times;serif" w:hAnsi="Times New Roman;Times;serif"/>
          <w:spacing w:val="-8"/>
          <w:sz w:val="22"/>
        </w:rPr>
        <w:t xml:space="preserve"> </w:t>
      </w:r>
      <w:r>
        <w:rPr>
          <w:rFonts w:ascii="Times New Roman;Times;serif" w:hAnsi="Times New Roman;Times;serif"/>
          <w:sz w:val="22"/>
        </w:rPr>
        <w:t>limited</w:t>
      </w:r>
      <w:r>
        <w:rPr>
          <w:rFonts w:ascii="Times New Roman;Times;serif" w:hAnsi="Times New Roman;Times;serif"/>
          <w:spacing w:val="-7"/>
          <w:sz w:val="22"/>
        </w:rPr>
        <w:t xml:space="preserve"> </w:t>
      </w:r>
      <w:r>
        <w:rPr>
          <w:rFonts w:ascii="Times New Roman;Times;serif" w:hAnsi="Times New Roman;Times;serif"/>
          <w:sz w:val="22"/>
        </w:rPr>
        <w:t>liability</w:t>
      </w:r>
      <w:r>
        <w:rPr>
          <w:rFonts w:ascii="Times New Roman;Times;serif" w:hAnsi="Times New Roman;Times;serif"/>
          <w:spacing w:val="-7"/>
          <w:sz w:val="22"/>
        </w:rPr>
        <w:t xml:space="preserve"> </w:t>
      </w:r>
      <w:r>
        <w:rPr>
          <w:rFonts w:ascii="Times New Roman;Times;serif" w:hAnsi="Times New Roman;Times;serif"/>
          <w:sz w:val="22"/>
        </w:rPr>
        <w:t>company</w:t>
      </w:r>
      <w:r>
        <w:rPr>
          <w:rFonts w:ascii="Times New Roman;Times;serif" w:hAnsi="Times New Roman;Times;serif"/>
          <w:spacing w:val="-7"/>
          <w:sz w:val="22"/>
        </w:rPr>
        <w:t xml:space="preserve"> </w:t>
      </w:r>
      <w:r>
        <w:rPr>
          <w:rFonts w:ascii="Times New Roman;Times;serif" w:hAnsi="Times New Roman;Times;serif"/>
          <w:sz w:val="22"/>
        </w:rPr>
        <w:t>(“PDP</w:t>
      </w:r>
      <w:r>
        <w:rPr>
          <w:rFonts w:ascii="Times New Roman;Times;serif" w:hAnsi="Times New Roman;Times;serif"/>
          <w:spacing w:val="-7"/>
          <w:sz w:val="22"/>
        </w:rPr>
        <w:t xml:space="preserve"> </w:t>
      </w:r>
      <w:r>
        <w:rPr>
          <w:rFonts w:ascii="Times New Roman;Times;serif" w:hAnsi="Times New Roman;Times;serif"/>
          <w:sz w:val="22"/>
        </w:rPr>
        <w:t>MN”)</w:t>
      </w:r>
      <w:r>
        <w:rPr>
          <w:rFonts w:ascii="Times New Roman;Times;serif" w:hAnsi="Times New Roman;Times;serif"/>
          <w:spacing w:val="-7"/>
          <w:sz w:val="22"/>
        </w:rPr>
        <w:t xml:space="preserve"> </w:t>
      </w:r>
      <w:r>
        <w:rPr>
          <w:rFonts w:ascii="Times New Roman;Times;serif" w:hAnsi="Times New Roman;Times;serif"/>
          <w:sz w:val="22"/>
        </w:rPr>
        <w:t>and</w:t>
      </w:r>
      <w:r>
        <w:rPr>
          <w:rFonts w:ascii="Times New Roman;Times;serif" w:hAnsi="Times New Roman;Times;serif"/>
          <w:spacing w:val="-7"/>
          <w:sz w:val="22"/>
        </w:rPr>
        <w:t xml:space="preserve"> </w:t>
      </w:r>
      <w:r>
        <w:rPr>
          <w:rFonts w:ascii="Times New Roman;Times;serif" w:hAnsi="Times New Roman;Times;serif"/>
          <w:sz w:val="22"/>
        </w:rPr>
        <w:t>PDP</w:t>
      </w:r>
      <w:r>
        <w:rPr>
          <w:rFonts w:ascii="Times New Roman;Times;serif" w:hAnsi="Times New Roman;Times;serif"/>
          <w:spacing w:val="-7"/>
          <w:sz w:val="22"/>
        </w:rPr>
        <w:t xml:space="preserve"> </w:t>
      </w:r>
      <w:r>
        <w:rPr>
          <w:rFonts w:ascii="Times New Roman;Times;serif" w:hAnsi="Times New Roman;Times;serif"/>
          <w:sz w:val="22"/>
        </w:rPr>
        <w:t>AZ, LLC, a Minnesota limited liability company (“PDP AZ” and individually, collectively and jointly and severally with PDG, Dental Specialists, OSM, Park Dental Partners, Facial PC and PDP MN, the “Borrowers”), and U.S. BANK NATIONAL ASSOCIATION, a national banking association (“Lender”).</w:t>
      </w:r>
    </w:p>
    <w:p>
      <w:pPr>
        <w:pStyle w:val="TextBody"/>
        <w:bidi w:val="0"/>
        <w:spacing w:before="240" w:after="0"/>
        <w:ind w:left="1" w:right="1" w:hanging="0"/>
        <w:jc w:val="center"/>
        <w:rPr>
          <w:rFonts w:ascii="Times New Roman;Times;serif" w:hAnsi="Times New Roman;Times;serif"/>
          <w:b/>
          <w:sz w:val="22"/>
        </w:rPr>
      </w:pPr>
      <w:r>
        <w:rPr>
          <w:rFonts w:ascii="Times New Roman;Times;serif" w:hAnsi="Times New Roman;Times;serif"/>
          <w:b/>
          <w:sz w:val="22"/>
        </w:rPr>
        <w:t>W</w:t>
      </w:r>
      <w:r>
        <w:rPr>
          <w:rFonts w:ascii="Times New Roman;Times;serif" w:hAnsi="Times New Roman;Times;serif"/>
          <w:b/>
          <w:spacing w:val="-2"/>
          <w:sz w:val="22"/>
        </w:rPr>
        <w:t xml:space="preserve"> </w:t>
      </w:r>
      <w:r>
        <w:rPr>
          <w:rFonts w:ascii="Times New Roman;Times;serif" w:hAnsi="Times New Roman;Times;serif"/>
          <w:b/>
          <w:sz w:val="22"/>
        </w:rPr>
        <w:t>I</w:t>
      </w:r>
      <w:r>
        <w:rPr>
          <w:rFonts w:ascii="Times New Roman;Times;serif" w:hAnsi="Times New Roman;Times;serif"/>
          <w:b/>
          <w:spacing w:val="-1"/>
          <w:sz w:val="22"/>
        </w:rPr>
        <w:t xml:space="preserve"> </w:t>
      </w:r>
      <w:r>
        <w:rPr>
          <w:rFonts w:ascii="Times New Roman;Times;serif" w:hAnsi="Times New Roman;Times;serif"/>
          <w:b/>
          <w:sz w:val="22"/>
        </w:rPr>
        <w:t>T</w:t>
      </w:r>
      <w:r>
        <w:rPr>
          <w:rFonts w:ascii="Times New Roman;Times;serif" w:hAnsi="Times New Roman;Times;serif"/>
          <w:b/>
          <w:spacing w:val="-2"/>
          <w:sz w:val="22"/>
        </w:rPr>
        <w:t xml:space="preserve"> </w:t>
      </w:r>
      <w:r>
        <w:rPr>
          <w:rFonts w:ascii="Times New Roman;Times;serif" w:hAnsi="Times New Roman;Times;serif"/>
          <w:b/>
          <w:sz w:val="22"/>
        </w:rPr>
        <w:t>N</w:t>
      </w:r>
      <w:r>
        <w:rPr>
          <w:rFonts w:ascii="Times New Roman;Times;serif" w:hAnsi="Times New Roman;Times;serif"/>
          <w:b/>
          <w:spacing w:val="-1"/>
          <w:sz w:val="22"/>
        </w:rPr>
        <w:t xml:space="preserve"> </w:t>
      </w:r>
      <w:r>
        <w:rPr>
          <w:rFonts w:ascii="Times New Roman;Times;serif" w:hAnsi="Times New Roman;Times;serif"/>
          <w:b/>
          <w:sz w:val="22"/>
        </w:rPr>
        <w:t>E</w:t>
      </w:r>
      <w:r>
        <w:rPr>
          <w:rFonts w:ascii="Times New Roman;Times;serif" w:hAnsi="Times New Roman;Times;serif"/>
          <w:b/>
          <w:spacing w:val="-2"/>
          <w:sz w:val="22"/>
        </w:rPr>
        <w:t xml:space="preserve"> </w:t>
      </w:r>
      <w:r>
        <w:rPr>
          <w:rFonts w:ascii="Times New Roman;Times;serif" w:hAnsi="Times New Roman;Times;serif"/>
          <w:b/>
          <w:sz w:val="22"/>
        </w:rPr>
        <w:t>S S</w:t>
      </w:r>
      <w:r>
        <w:rPr>
          <w:rFonts w:ascii="Times New Roman;Times;serif" w:hAnsi="Times New Roman;Times;serif"/>
          <w:b/>
          <w:spacing w:val="-2"/>
          <w:sz w:val="22"/>
        </w:rPr>
        <w:t xml:space="preserve"> </w:t>
      </w:r>
      <w:r>
        <w:rPr>
          <w:rFonts w:ascii="Times New Roman;Times;serif" w:hAnsi="Times New Roman;Times;serif"/>
          <w:b/>
          <w:sz w:val="22"/>
        </w:rPr>
        <w:t>E</w:t>
      </w:r>
      <w:r>
        <w:rPr>
          <w:rFonts w:ascii="Times New Roman;Times;serif" w:hAnsi="Times New Roman;Times;serif"/>
          <w:b/>
          <w:spacing w:val="-1"/>
          <w:sz w:val="22"/>
        </w:rPr>
        <w:t xml:space="preserve"> </w:t>
      </w:r>
      <w:r>
        <w:rPr>
          <w:rFonts w:ascii="Times New Roman;Times;serif" w:hAnsi="Times New Roman;Times;serif"/>
          <w:b/>
          <w:sz w:val="22"/>
        </w:rPr>
        <w:t>T</w:t>
      </w:r>
      <w:r>
        <w:rPr>
          <w:rFonts w:ascii="Times New Roman;Times;serif" w:hAnsi="Times New Roman;Times;serif"/>
          <w:b/>
          <w:spacing w:val="-1"/>
          <w:sz w:val="22"/>
        </w:rPr>
        <w:t xml:space="preserve"> </w:t>
      </w:r>
      <w:r>
        <w:rPr>
          <w:rFonts w:ascii="Times New Roman;Times;serif" w:hAnsi="Times New Roman;Times;serif"/>
          <w:b/>
          <w:spacing w:val="-5"/>
          <w:sz w:val="22"/>
        </w:rPr>
        <w:t>H:</w:t>
      </w:r>
    </w:p>
    <w:p>
      <w:pPr>
        <w:pStyle w:val="TextBody"/>
        <w:bidi w:val="0"/>
        <w:spacing w:before="240" w:after="0"/>
        <w:ind w:left="360" w:right="356" w:firstLine="720"/>
        <w:jc w:val="both"/>
        <w:rPr>
          <w:rFonts w:ascii="Times New Roman;Times;serif" w:hAnsi="Times New Roman;Times;serif"/>
          <w:sz w:val="22"/>
        </w:rPr>
      </w:pPr>
      <w:r>
        <w:rPr>
          <w:rFonts w:ascii="Times New Roman;Times;serif" w:hAnsi="Times New Roman;Times;serif"/>
          <w:sz w:val="22"/>
        </w:rPr>
        <w:t>WHEREAS,</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Borrowers</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Lender</w:t>
      </w:r>
      <w:r>
        <w:rPr>
          <w:rFonts w:ascii="Times New Roman;Times;serif" w:hAnsi="Times New Roman;Times;serif"/>
          <w:spacing w:val="-3"/>
          <w:sz w:val="22"/>
        </w:rPr>
        <w:t xml:space="preserve"> </w:t>
      </w:r>
      <w:r>
        <w:rPr>
          <w:rFonts w:ascii="Times New Roman;Times;serif" w:hAnsi="Times New Roman;Times;serif"/>
          <w:sz w:val="22"/>
        </w:rPr>
        <w:t>entered</w:t>
      </w:r>
      <w:r>
        <w:rPr>
          <w:rFonts w:ascii="Times New Roman;Times;serif" w:hAnsi="Times New Roman;Times;serif"/>
          <w:spacing w:val="-3"/>
          <w:sz w:val="22"/>
        </w:rPr>
        <w:t xml:space="preserve"> </w:t>
      </w:r>
      <w:r>
        <w:rPr>
          <w:rFonts w:ascii="Times New Roman;Times;serif" w:hAnsi="Times New Roman;Times;serif"/>
          <w:sz w:val="22"/>
        </w:rPr>
        <w:t>into</w:t>
      </w:r>
      <w:r>
        <w:rPr>
          <w:rFonts w:ascii="Times New Roman;Times;serif" w:hAnsi="Times New Roman;Times;serif"/>
          <w:spacing w:val="-3"/>
          <w:sz w:val="22"/>
        </w:rPr>
        <w:t xml:space="preserve"> </w:t>
      </w:r>
      <w:r>
        <w:rPr>
          <w:rFonts w:ascii="Times New Roman;Times;serif" w:hAnsi="Times New Roman;Times;serif"/>
          <w:sz w:val="22"/>
        </w:rPr>
        <w:t>that</w:t>
      </w:r>
      <w:r>
        <w:rPr>
          <w:rFonts w:ascii="Times New Roman;Times;serif" w:hAnsi="Times New Roman;Times;serif"/>
          <w:spacing w:val="-3"/>
          <w:sz w:val="22"/>
        </w:rPr>
        <w:t xml:space="preserve"> </w:t>
      </w:r>
      <w:r>
        <w:rPr>
          <w:rFonts w:ascii="Times New Roman;Times;serif" w:hAnsi="Times New Roman;Times;serif"/>
          <w:sz w:val="22"/>
        </w:rPr>
        <w:t>certain</w:t>
      </w:r>
      <w:r>
        <w:rPr>
          <w:rFonts w:ascii="Times New Roman;Times;serif" w:hAnsi="Times New Roman;Times;serif"/>
          <w:spacing w:val="-3"/>
          <w:sz w:val="22"/>
        </w:rPr>
        <w:t xml:space="preserve"> </w:t>
      </w:r>
      <w:r>
        <w:rPr>
          <w:rFonts w:ascii="Times New Roman;Times;serif" w:hAnsi="Times New Roman;Times;serif"/>
          <w:sz w:val="22"/>
        </w:rPr>
        <w:t>Amended</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Restated</w:t>
      </w:r>
      <w:r>
        <w:rPr>
          <w:rFonts w:ascii="Times New Roman;Times;serif" w:hAnsi="Times New Roman;Times;serif"/>
          <w:spacing w:val="-3"/>
          <w:sz w:val="22"/>
        </w:rPr>
        <w:t xml:space="preserve"> </w:t>
      </w:r>
      <w:r>
        <w:rPr>
          <w:rFonts w:ascii="Times New Roman;Times;serif" w:hAnsi="Times New Roman;Times;serif"/>
          <w:sz w:val="22"/>
        </w:rPr>
        <w:t>Credit Agreement dated as of March 27, 2024 (as the same may be amended, modified, supplemented, renewed or restated, the “Credit Agreement”), concerning the extension by the Lender to the Borrowers of (i) a revolving</w:t>
      </w:r>
      <w:r>
        <w:rPr>
          <w:rFonts w:ascii="Times New Roman;Times;serif" w:hAnsi="Times New Roman;Times;serif"/>
          <w:spacing w:val="-1"/>
          <w:sz w:val="22"/>
        </w:rPr>
        <w:t xml:space="preserve"> </w:t>
      </w:r>
      <w:r>
        <w:rPr>
          <w:rFonts w:ascii="Times New Roman;Times;serif" w:hAnsi="Times New Roman;Times;serif"/>
          <w:sz w:val="22"/>
        </w:rPr>
        <w:t>line</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credit in the</w:t>
      </w:r>
      <w:r>
        <w:rPr>
          <w:rFonts w:ascii="Times New Roman;Times;serif" w:hAnsi="Times New Roman;Times;serif"/>
          <w:spacing w:val="-1"/>
          <w:sz w:val="22"/>
        </w:rPr>
        <w:t xml:space="preserve"> </w:t>
      </w:r>
      <w:r>
        <w:rPr>
          <w:rFonts w:ascii="Times New Roman;Times;serif" w:hAnsi="Times New Roman;Times;serif"/>
          <w:sz w:val="22"/>
        </w:rPr>
        <w:t>original principal</w:t>
      </w:r>
      <w:r>
        <w:rPr>
          <w:rFonts w:ascii="Times New Roman;Times;serif" w:hAnsi="Times New Roman;Times;serif"/>
          <w:spacing w:val="-1"/>
          <w:sz w:val="22"/>
        </w:rPr>
        <w:t xml:space="preserve"> </w:t>
      </w:r>
      <w:r>
        <w:rPr>
          <w:rFonts w:ascii="Times New Roman;Times;serif" w:hAnsi="Times New Roman;Times;serif"/>
          <w:sz w:val="22"/>
        </w:rPr>
        <w:t>amount</w:t>
      </w:r>
      <w:r>
        <w:rPr>
          <w:rFonts w:ascii="Times New Roman;Times;serif" w:hAnsi="Times New Roman;Times;serif"/>
          <w:spacing w:val="-1"/>
          <w:sz w:val="22"/>
        </w:rPr>
        <w:t xml:space="preserve"> </w:t>
      </w:r>
      <w:r>
        <w:rPr>
          <w:rFonts w:ascii="Times New Roman;Times;serif" w:hAnsi="Times New Roman;Times;serif"/>
          <w:sz w:val="22"/>
        </w:rPr>
        <w:t>of up</w:t>
      </w:r>
      <w:r>
        <w:rPr>
          <w:rFonts w:ascii="Times New Roman;Times;serif" w:hAnsi="Times New Roman;Times;serif"/>
          <w:spacing w:val="-1"/>
          <w:sz w:val="22"/>
        </w:rPr>
        <w:t xml:space="preserve"> </w:t>
      </w:r>
      <w:r>
        <w:rPr>
          <w:rFonts w:ascii="Times New Roman;Times;serif" w:hAnsi="Times New Roman;Times;serif"/>
          <w:sz w:val="22"/>
        </w:rPr>
        <w:t>to $15,000,000</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“Revolving</w:t>
      </w:r>
      <w:r>
        <w:rPr>
          <w:rFonts w:ascii="Times New Roman;Times;serif" w:hAnsi="Times New Roman;Times;serif"/>
          <w:spacing w:val="-2"/>
          <w:sz w:val="22"/>
        </w:rPr>
        <w:t xml:space="preserve"> </w:t>
      </w:r>
      <w:r>
        <w:rPr>
          <w:rFonts w:ascii="Times New Roman;Times;serif" w:hAnsi="Times New Roman;Times;serif"/>
          <w:sz w:val="22"/>
        </w:rPr>
        <w:t xml:space="preserve">Loan”) </w:t>
      </w:r>
      <w:r>
        <w:rPr>
          <w:rFonts w:ascii="Times New Roman;Times;serif" w:hAnsi="Times New Roman;Times;serif"/>
          <w:spacing w:val="-5"/>
          <w:sz w:val="22"/>
        </w:rPr>
        <w:t>and</w:t>
      </w:r>
    </w:p>
    <w:p>
      <w:pPr>
        <w:pStyle w:val="TextBody"/>
        <w:bidi w:val="0"/>
        <w:spacing w:before="0" w:after="0"/>
        <w:ind w:left="360" w:right="356"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pacing w:val="-8"/>
          <w:sz w:val="22"/>
        </w:rPr>
        <w:t xml:space="preserve"> </w:t>
      </w:r>
      <w:r>
        <w:rPr>
          <w:rFonts w:ascii="Times New Roman;Times;serif" w:hAnsi="Times New Roman;Times;serif"/>
          <w:sz w:val="22"/>
        </w:rPr>
        <w:t>a</w:t>
      </w:r>
      <w:r>
        <w:rPr>
          <w:rFonts w:ascii="Times New Roman;Times;serif" w:hAnsi="Times New Roman;Times;serif"/>
          <w:spacing w:val="-8"/>
          <w:sz w:val="22"/>
        </w:rPr>
        <w:t xml:space="preserve"> </w:t>
      </w:r>
      <w:r>
        <w:rPr>
          <w:rFonts w:ascii="Times New Roman;Times;serif" w:hAnsi="Times New Roman;Times;serif"/>
          <w:sz w:val="22"/>
        </w:rPr>
        <w:t>term</w:t>
      </w:r>
      <w:r>
        <w:rPr>
          <w:rFonts w:ascii="Times New Roman;Times;serif" w:hAnsi="Times New Roman;Times;serif"/>
          <w:spacing w:val="-8"/>
          <w:sz w:val="22"/>
        </w:rPr>
        <w:t xml:space="preserve"> </w:t>
      </w:r>
      <w:r>
        <w:rPr>
          <w:rFonts w:ascii="Times New Roman;Times;serif" w:hAnsi="Times New Roman;Times;serif"/>
          <w:sz w:val="22"/>
        </w:rPr>
        <w:t>loan</w:t>
      </w:r>
      <w:r>
        <w:rPr>
          <w:rFonts w:ascii="Times New Roman;Times;serif" w:hAnsi="Times New Roman;Times;serif"/>
          <w:spacing w:val="-8"/>
          <w:sz w:val="22"/>
        </w:rPr>
        <w:t xml:space="preserve"> </w:t>
      </w:r>
      <w:r>
        <w:rPr>
          <w:rFonts w:ascii="Times New Roman;Times;serif" w:hAnsi="Times New Roman;Times;serif"/>
          <w:sz w:val="22"/>
        </w:rPr>
        <w:t>in</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original</w:t>
      </w:r>
      <w:r>
        <w:rPr>
          <w:rFonts w:ascii="Times New Roman;Times;serif" w:hAnsi="Times New Roman;Times;serif"/>
          <w:spacing w:val="-8"/>
          <w:sz w:val="22"/>
        </w:rPr>
        <w:t xml:space="preserve"> </w:t>
      </w:r>
      <w:r>
        <w:rPr>
          <w:rFonts w:ascii="Times New Roman;Times;serif" w:hAnsi="Times New Roman;Times;serif"/>
          <w:sz w:val="22"/>
        </w:rPr>
        <w:t>principal</w:t>
      </w:r>
      <w:r>
        <w:rPr>
          <w:rFonts w:ascii="Times New Roman;Times;serif" w:hAnsi="Times New Roman;Times;serif"/>
          <w:spacing w:val="-8"/>
          <w:sz w:val="22"/>
        </w:rPr>
        <w:t xml:space="preserve"> </w:t>
      </w:r>
      <w:r>
        <w:rPr>
          <w:rFonts w:ascii="Times New Roman;Times;serif" w:hAnsi="Times New Roman;Times;serif"/>
          <w:sz w:val="22"/>
        </w:rPr>
        <w:t>amount</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$13,000,000</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“Term</w:t>
      </w:r>
      <w:r>
        <w:rPr>
          <w:rFonts w:ascii="Times New Roman;Times;serif" w:hAnsi="Times New Roman;Times;serif"/>
          <w:spacing w:val="-8"/>
          <w:sz w:val="22"/>
        </w:rPr>
        <w:t xml:space="preserve"> </w:t>
      </w:r>
      <w:r>
        <w:rPr>
          <w:rFonts w:ascii="Times New Roman;Times;serif" w:hAnsi="Times New Roman;Times;serif"/>
          <w:sz w:val="22"/>
        </w:rPr>
        <w:t>Loan,”</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8"/>
          <w:sz w:val="22"/>
        </w:rPr>
        <w:t xml:space="preserve"> </w:t>
      </w:r>
      <w:r>
        <w:rPr>
          <w:rFonts w:ascii="Times New Roman;Times;serif" w:hAnsi="Times New Roman;Times;serif"/>
          <w:sz w:val="22"/>
        </w:rPr>
        <w:t>collectively</w:t>
      </w:r>
      <w:r>
        <w:rPr>
          <w:rFonts w:ascii="Times New Roman;Times;serif" w:hAnsi="Times New Roman;Times;serif"/>
          <w:spacing w:val="-8"/>
          <w:sz w:val="22"/>
        </w:rPr>
        <w:t xml:space="preserve"> </w:t>
      </w:r>
      <w:r>
        <w:rPr>
          <w:rFonts w:ascii="Times New Roman;Times;serif" w:hAnsi="Times New Roman;Times;serif"/>
          <w:sz w:val="22"/>
        </w:rPr>
        <w:t>with</w:t>
      </w:r>
      <w:r>
        <w:rPr>
          <w:rFonts w:ascii="Times New Roman;Times;serif" w:hAnsi="Times New Roman;Times;serif"/>
          <w:spacing w:val="-8"/>
          <w:sz w:val="22"/>
        </w:rPr>
        <w:t xml:space="preserve"> </w:t>
      </w:r>
      <w:r>
        <w:rPr>
          <w:rFonts w:ascii="Times New Roman;Times;serif" w:hAnsi="Times New Roman;Times;serif"/>
          <w:sz w:val="22"/>
        </w:rPr>
        <w:t>the Revolving Loan, the “Loans”); and</w:t>
      </w:r>
    </w:p>
    <w:p>
      <w:pPr>
        <w:pStyle w:val="TextBody"/>
        <w:bidi w:val="0"/>
        <w:spacing w:before="239" w:after="0"/>
        <w:ind w:left="360" w:right="358" w:firstLine="719"/>
        <w:jc w:val="both"/>
        <w:rPr>
          <w:rFonts w:ascii="Times New Roman;Times;serif" w:hAnsi="Times New Roman;Times;serif"/>
          <w:sz w:val="22"/>
        </w:rPr>
      </w:pPr>
      <w:r>
        <w:rPr>
          <w:rFonts w:ascii="Times New Roman;Times;serif" w:hAnsi="Times New Roman;Times;serif"/>
          <w:sz w:val="22"/>
        </w:rPr>
        <w:t>WHEREAS, the Obligations (as defined in the Credit Agreement) of the Borrowers to the Lender are secured by the Security Documents (as defined in the Credit Agreement); and</w:t>
      </w:r>
    </w:p>
    <w:p>
      <w:pPr>
        <w:pStyle w:val="TextBody"/>
        <w:bidi w:val="0"/>
        <w:spacing w:before="240" w:after="0"/>
        <w:ind w:left="360" w:right="357" w:firstLine="720"/>
        <w:jc w:val="both"/>
        <w:rPr>
          <w:rFonts w:ascii="Times New Roman;Times;serif" w:hAnsi="Times New Roman;Times;serif"/>
          <w:sz w:val="22"/>
        </w:rPr>
      </w:pPr>
      <w:r>
        <w:rPr>
          <w:rFonts w:ascii="Times New Roman;Times;serif" w:hAnsi="Times New Roman;Times;serif"/>
          <w:sz w:val="22"/>
        </w:rPr>
        <w:t>WHEREAS, the Borrowers are required to join a wholly owned Subsidiary, PDP AZ, LLC, a Minnesota</w:t>
      </w:r>
      <w:r>
        <w:rPr>
          <w:rFonts w:ascii="Times New Roman;Times;serif" w:hAnsi="Times New Roman;Times;serif"/>
          <w:spacing w:val="-2"/>
          <w:sz w:val="22"/>
        </w:rPr>
        <w:t xml:space="preserve"> </w:t>
      </w:r>
      <w:r>
        <w:rPr>
          <w:rFonts w:ascii="Times New Roman;Times;serif" w:hAnsi="Times New Roman;Times;serif"/>
          <w:sz w:val="22"/>
        </w:rPr>
        <w:t>limited</w:t>
      </w:r>
      <w:r>
        <w:rPr>
          <w:rFonts w:ascii="Times New Roman;Times;serif" w:hAnsi="Times New Roman;Times;serif"/>
          <w:spacing w:val="-2"/>
          <w:sz w:val="22"/>
        </w:rPr>
        <w:t xml:space="preserve"> </w:t>
      </w:r>
      <w:r>
        <w:rPr>
          <w:rFonts w:ascii="Times New Roman;Times;serif" w:hAnsi="Times New Roman;Times;serif"/>
          <w:sz w:val="22"/>
        </w:rPr>
        <w:t>liability</w:t>
      </w:r>
      <w:r>
        <w:rPr>
          <w:rFonts w:ascii="Times New Roman;Times;serif" w:hAnsi="Times New Roman;Times;serif"/>
          <w:spacing w:val="-2"/>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“New</w:t>
      </w:r>
      <w:r>
        <w:rPr>
          <w:rFonts w:ascii="Times New Roman;Times;serif" w:hAnsi="Times New Roman;Times;serif"/>
          <w:spacing w:val="-2"/>
          <w:sz w:val="22"/>
        </w:rPr>
        <w:t xml:space="preserve"> </w:t>
      </w:r>
      <w:r>
        <w:rPr>
          <w:rFonts w:ascii="Times New Roman;Times;serif" w:hAnsi="Times New Roman;Times;serif"/>
          <w:sz w:val="22"/>
        </w:rPr>
        <w:t>Subsidiary”)</w:t>
      </w:r>
      <w:r>
        <w:rPr>
          <w:rFonts w:ascii="Times New Roman;Times;serif" w:hAnsi="Times New Roman;Times;serif"/>
          <w:spacing w:val="-2"/>
          <w:sz w:val="22"/>
        </w:rPr>
        <w:t xml:space="preserve"> </w:t>
      </w:r>
      <w:r>
        <w:rPr>
          <w:rFonts w:ascii="Times New Roman;Times;serif" w:hAnsi="Times New Roman;Times;serif"/>
          <w:sz w:val="22"/>
        </w:rPr>
        <w:t>as</w:t>
      </w:r>
      <w:r>
        <w:rPr>
          <w:rFonts w:ascii="Times New Roman;Times;serif" w:hAnsi="Times New Roman;Times;serif"/>
          <w:spacing w:val="-2"/>
          <w:sz w:val="22"/>
        </w:rPr>
        <w:t xml:space="preserve"> </w:t>
      </w:r>
      <w:r>
        <w:rPr>
          <w:rFonts w:ascii="Times New Roman;Times;serif" w:hAnsi="Times New Roman;Times;serif"/>
          <w:sz w:val="22"/>
        </w:rPr>
        <w:t>a</w:t>
      </w:r>
      <w:r>
        <w:rPr>
          <w:rFonts w:ascii="Times New Roman;Times;serif" w:hAnsi="Times New Roman;Times;serif"/>
          <w:spacing w:val="-1"/>
          <w:sz w:val="22"/>
        </w:rPr>
        <w:t xml:space="preserve"> </w:t>
      </w:r>
      <w:r>
        <w:rPr>
          <w:rFonts w:ascii="Times New Roman;Times;serif" w:hAnsi="Times New Roman;Times;serif"/>
          <w:sz w:val="22"/>
        </w:rPr>
        <w:t>co-Borrower</w:t>
      </w:r>
      <w:r>
        <w:rPr>
          <w:rFonts w:ascii="Times New Roman;Times;serif" w:hAnsi="Times New Roman;Times;serif"/>
          <w:spacing w:val="-1"/>
          <w:sz w:val="22"/>
        </w:rPr>
        <w:t xml:space="preserve"> </w:t>
      </w:r>
      <w:r>
        <w:rPr>
          <w:rFonts w:ascii="Times New Roman;Times;serif" w:hAnsi="Times New Roman;Times;serif"/>
          <w:sz w:val="22"/>
        </w:rPr>
        <w:t>to</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Loan</w:t>
      </w:r>
      <w:r>
        <w:rPr>
          <w:rFonts w:ascii="Times New Roman;Times;serif" w:hAnsi="Times New Roman;Times;serif"/>
          <w:spacing w:val="-2"/>
          <w:sz w:val="22"/>
        </w:rPr>
        <w:t xml:space="preserve"> </w:t>
      </w:r>
      <w:r>
        <w:rPr>
          <w:rFonts w:ascii="Times New Roman;Times;serif" w:hAnsi="Times New Roman;Times;serif"/>
          <w:sz w:val="22"/>
        </w:rPr>
        <w:t>Documents</w:t>
      </w:r>
      <w:r>
        <w:rPr>
          <w:rFonts w:ascii="Times New Roman;Times;serif" w:hAnsi="Times New Roman;Times;serif"/>
          <w:spacing w:val="-2"/>
          <w:sz w:val="22"/>
        </w:rPr>
        <w:t xml:space="preserve"> </w:t>
      </w:r>
      <w:r>
        <w:rPr>
          <w:rFonts w:ascii="Times New Roman;Times;serif" w:hAnsi="Times New Roman;Times;serif"/>
          <w:sz w:val="22"/>
        </w:rPr>
        <w:t>(as defined in the Credit Agreement); and</w:t>
      </w:r>
    </w:p>
    <w:p>
      <w:pPr>
        <w:pStyle w:val="TextBody"/>
        <w:bidi w:val="0"/>
        <w:spacing w:before="241" w:after="0"/>
        <w:ind w:left="360" w:right="358" w:firstLine="720"/>
        <w:jc w:val="both"/>
        <w:rPr>
          <w:rFonts w:ascii="Times New Roman;Times;serif" w:hAnsi="Times New Roman;Times;serif"/>
          <w:sz w:val="22"/>
        </w:rPr>
      </w:pPr>
      <w:r>
        <w:rPr>
          <w:rFonts w:ascii="Times New Roman;Times;serif" w:hAnsi="Times New Roman;Times;serif"/>
          <w:sz w:val="22"/>
        </w:rPr>
        <w:t>WHEREAS, the Borrowers have requested the Lender to modify certain provisions and make certain other modifications to the Credit Agreement as more particularly set forth herein; and</w:t>
      </w:r>
    </w:p>
    <w:p>
      <w:pPr>
        <w:pStyle w:val="TextBody"/>
        <w:bidi w:val="0"/>
        <w:spacing w:before="239" w:after="0"/>
        <w:ind w:left="360" w:right="358" w:firstLine="720"/>
        <w:jc w:val="both"/>
        <w:rPr>
          <w:rFonts w:ascii="Times New Roman;Times;serif" w:hAnsi="Times New Roman;Times;serif"/>
          <w:sz w:val="22"/>
        </w:rPr>
      </w:pPr>
      <w:r>
        <w:rPr>
          <w:rFonts w:ascii="Times New Roman;Times;serif" w:hAnsi="Times New Roman;Times;serif"/>
          <w:sz w:val="22"/>
        </w:rPr>
        <w:t>WHEREAS, the Lender is willing to make such amendments in accordance with the terms and subject to the conditions contained herein.</w:t>
      </w:r>
    </w:p>
    <w:p>
      <w:pPr>
        <w:pStyle w:val="TextBody"/>
        <w:bidi w:val="0"/>
        <w:spacing w:before="240" w:after="0"/>
        <w:ind w:left="360" w:right="357" w:firstLine="720"/>
        <w:jc w:val="both"/>
        <w:rPr>
          <w:rFonts w:ascii="Times New Roman;Times;serif" w:hAnsi="Times New Roman;Times;serif"/>
          <w:sz w:val="22"/>
        </w:rPr>
      </w:pPr>
      <w:r>
        <w:rPr>
          <w:rFonts w:ascii="Times New Roman;Times;serif" w:hAnsi="Times New Roman;Times;serif"/>
          <w:sz w:val="22"/>
        </w:rPr>
        <w:t>NOW, THEREFORE, in consideration of the foregoing recitals and for other good and valuable consideration, the receipt and sufficiency of which are hereby acknowledged, the parties hereto hereby agree as follows:</w:t>
      </w:r>
    </w:p>
    <w:tbl>
      <w:tblPr>
        <w:tblW w:w="10205" w:type="dxa"/>
        <w:jc w:val="left"/>
        <w:tblInd w:w="0" w:type="dxa"/>
        <w:tblLayout w:type="fixed"/>
        <w:tblCellMar>
          <w:top w:w="0" w:type="dxa"/>
          <w:left w:w="0" w:type="dxa"/>
          <w:bottom w:w="0" w:type="dxa"/>
          <w:right w:w="0" w:type="dxa"/>
        </w:tblCellMar>
      </w:tblPr>
      <w:tblGrid>
        <w:gridCol w:w="23"/>
        <w:gridCol w:w="178"/>
        <w:gridCol w:w="998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Definitions.</w:t>
            </w:r>
            <w:r>
              <w:rPr>
                <w:caps w:val="false"/>
                <w:smallCaps w:val="false"/>
                <w:spacing w:val="23"/>
              </w:rPr>
              <w:t xml:space="preserve"> </w:t>
            </w:r>
            <w:r>
              <w:rPr>
                <w:rFonts w:ascii="Times New Roman;Times;serif" w:hAnsi="Times New Roman;Times;serif"/>
                <w:b w:val="false"/>
                <w:i w:val="false"/>
                <w:caps w:val="false"/>
                <w:smallCaps w:val="false"/>
                <w:sz w:val="22"/>
              </w:rPr>
              <w:t>All</w:t>
            </w:r>
            <w:r>
              <w:rPr>
                <w:caps w:val="false"/>
                <w:smallCaps w:val="false"/>
                <w:spacing w:val="23"/>
              </w:rPr>
              <w:t xml:space="preserve"> </w:t>
            </w:r>
            <w:r>
              <w:rPr>
                <w:rFonts w:ascii="Times New Roman;Times;serif" w:hAnsi="Times New Roman;Times;serif"/>
                <w:b w:val="false"/>
                <w:i w:val="false"/>
                <w:caps w:val="false"/>
                <w:smallCaps w:val="false"/>
                <w:sz w:val="22"/>
              </w:rPr>
              <w:t>terms</w:t>
            </w:r>
            <w:r>
              <w:rPr>
                <w:caps w:val="false"/>
                <w:smallCaps w:val="false"/>
                <w:spacing w:val="23"/>
              </w:rPr>
              <w:t xml:space="preserve"> </w:t>
            </w:r>
            <w:r>
              <w:rPr>
                <w:rFonts w:ascii="Times New Roman;Times;serif" w:hAnsi="Times New Roman;Times;serif"/>
                <w:b w:val="false"/>
                <w:i w:val="false"/>
                <w:caps w:val="false"/>
                <w:smallCaps w:val="false"/>
                <w:sz w:val="22"/>
              </w:rPr>
              <w:t>used</w:t>
            </w:r>
            <w:r>
              <w:rPr>
                <w:caps w:val="false"/>
                <w:smallCaps w:val="false"/>
                <w:spacing w:val="24"/>
              </w:rPr>
              <w:t xml:space="preserve"> </w:t>
            </w:r>
            <w:r>
              <w:rPr>
                <w:rFonts w:ascii="Times New Roman;Times;serif" w:hAnsi="Times New Roman;Times;serif"/>
                <w:b w:val="false"/>
                <w:i w:val="false"/>
                <w:caps w:val="false"/>
                <w:smallCaps w:val="false"/>
                <w:sz w:val="22"/>
              </w:rPr>
              <w:t>and</w:t>
            </w:r>
            <w:r>
              <w:rPr>
                <w:caps w:val="false"/>
                <w:smallCaps w:val="false"/>
                <w:spacing w:val="23"/>
              </w:rPr>
              <w:t xml:space="preserve"> </w:t>
            </w:r>
            <w:r>
              <w:rPr>
                <w:rFonts w:ascii="Times New Roman;Times;serif" w:hAnsi="Times New Roman;Times;serif"/>
                <w:b w:val="false"/>
                <w:i w:val="false"/>
                <w:caps w:val="false"/>
                <w:smallCaps w:val="false"/>
                <w:sz w:val="22"/>
              </w:rPr>
              <w:t>not</w:t>
            </w:r>
            <w:r>
              <w:rPr>
                <w:caps w:val="false"/>
                <w:smallCaps w:val="false"/>
                <w:spacing w:val="23"/>
              </w:rPr>
              <w:t xml:space="preserve"> </w:t>
            </w:r>
            <w:r>
              <w:rPr>
                <w:rFonts w:ascii="Times New Roman;Times;serif" w:hAnsi="Times New Roman;Times;serif"/>
                <w:b w:val="false"/>
                <w:i w:val="false"/>
                <w:caps w:val="false"/>
                <w:smallCaps w:val="false"/>
                <w:sz w:val="22"/>
              </w:rPr>
              <w:t>otherwise</w:t>
            </w:r>
            <w:r>
              <w:rPr>
                <w:caps w:val="false"/>
                <w:smallCaps w:val="false"/>
                <w:spacing w:val="23"/>
              </w:rPr>
              <w:t xml:space="preserve"> </w:t>
            </w:r>
            <w:r>
              <w:rPr>
                <w:rFonts w:ascii="Times New Roman;Times;serif" w:hAnsi="Times New Roman;Times;serif"/>
                <w:b w:val="false"/>
                <w:i w:val="false"/>
                <w:caps w:val="false"/>
                <w:smallCaps w:val="false"/>
                <w:sz w:val="22"/>
              </w:rPr>
              <w:t>defined</w:t>
            </w:r>
            <w:r>
              <w:rPr>
                <w:caps w:val="false"/>
                <w:smallCaps w:val="false"/>
                <w:spacing w:val="23"/>
              </w:rPr>
              <w:t xml:space="preserve"> </w:t>
            </w:r>
            <w:r>
              <w:rPr>
                <w:rFonts w:ascii="Times New Roman;Times;serif" w:hAnsi="Times New Roman;Times;serif"/>
                <w:b w:val="false"/>
                <w:i w:val="false"/>
                <w:caps w:val="false"/>
                <w:smallCaps w:val="false"/>
                <w:sz w:val="22"/>
              </w:rPr>
              <w:t>herein</w:t>
            </w:r>
            <w:r>
              <w:rPr>
                <w:caps w:val="false"/>
                <w:smallCaps w:val="false"/>
                <w:spacing w:val="23"/>
              </w:rPr>
              <w:t xml:space="preserve"> </w:t>
            </w:r>
            <w:r>
              <w:rPr>
                <w:rFonts w:ascii="Times New Roman;Times;serif" w:hAnsi="Times New Roman;Times;serif"/>
                <w:b w:val="false"/>
                <w:i w:val="false"/>
                <w:caps w:val="false"/>
                <w:smallCaps w:val="false"/>
                <w:sz w:val="22"/>
              </w:rPr>
              <w:t>shall</w:t>
            </w:r>
            <w:r>
              <w:rPr>
                <w:caps w:val="false"/>
                <w:smallCaps w:val="false"/>
                <w:spacing w:val="23"/>
              </w:rPr>
              <w:t xml:space="preserve"> </w:t>
            </w:r>
            <w:r>
              <w:rPr>
                <w:rFonts w:ascii="Times New Roman;Times;serif" w:hAnsi="Times New Roman;Times;serif"/>
                <w:b w:val="false"/>
                <w:i w:val="false"/>
                <w:caps w:val="false"/>
                <w:smallCaps w:val="false"/>
                <w:sz w:val="22"/>
              </w:rPr>
              <w:t>have</w:t>
            </w:r>
            <w:r>
              <w:rPr>
                <w:caps w:val="false"/>
                <w:smallCaps w:val="false"/>
                <w:spacing w:val="23"/>
              </w:rPr>
              <w:t xml:space="preserve"> </w:t>
            </w:r>
            <w:r>
              <w:rPr>
                <w:rFonts w:ascii="Times New Roman;Times;serif" w:hAnsi="Times New Roman;Times;serif"/>
                <w:b w:val="false"/>
                <w:i w:val="false"/>
                <w:caps w:val="false"/>
                <w:smallCaps w:val="false"/>
                <w:sz w:val="22"/>
              </w:rPr>
              <w:t>the</w:t>
            </w:r>
            <w:r>
              <w:rPr>
                <w:caps w:val="false"/>
                <w:smallCaps w:val="false"/>
                <w:spacing w:val="23"/>
              </w:rPr>
              <w:t xml:space="preserve"> </w:t>
            </w:r>
            <w:r>
              <w:rPr>
                <w:rFonts w:ascii="Times New Roman;Times;serif" w:hAnsi="Times New Roman;Times;serif"/>
                <w:b w:val="false"/>
                <w:i w:val="false"/>
                <w:caps w:val="false"/>
                <w:smallCaps w:val="false"/>
                <w:sz w:val="22"/>
              </w:rPr>
              <w:t>meanings</w:t>
            </w:r>
            <w:r>
              <w:rPr>
                <w:caps w:val="false"/>
                <w:smallCaps w:val="false"/>
                <w:spacing w:val="23"/>
              </w:rPr>
              <w:t xml:space="preserve"> </w:t>
            </w:r>
            <w:r>
              <w:rPr>
                <w:rFonts w:ascii="Times New Roman;Times;serif" w:hAnsi="Times New Roman;Times;serif"/>
                <w:b w:val="false"/>
                <w:i w:val="false"/>
                <w:caps w:val="false"/>
                <w:smallCaps w:val="false"/>
                <w:sz w:val="22"/>
              </w:rPr>
              <w:t>assigned thereto in the Credit Agreement and the other Loan Documents.</w:t>
            </w:r>
          </w:p>
        </w:tc>
        <w:tc>
          <w:tcPr>
            <w:tcW w:w="24" w:type="dxa"/>
            <w:tcBorders/>
            <w:vAlign w:val="center"/>
          </w:tcPr>
          <w:p>
            <w:pPr>
              <w:pStyle w:val="TableContents"/>
              <w:bidi w:val="0"/>
              <w:spacing w:before="0" w:after="283"/>
              <w:jc w:val="left"/>
              <w:rPr>
                <w:sz w:val="4"/>
                <w:szCs w:val="4"/>
              </w:rPr>
            </w:pPr>
            <w:r>
              <w:rPr>
                <w:sz w:val="4"/>
                <w:szCs w:val="4"/>
              </w:rPr>
            </w:r>
          </w:p>
        </w:tc>
      </w:tr>
    </w:tbl>
    <w:tbl>
      <w:tblPr>
        <w:tblW w:w="1307" w:type="dxa"/>
        <w:jc w:val="left"/>
        <w:tblInd w:w="0" w:type="dxa"/>
        <w:tblLayout w:type="fixed"/>
        <w:tblCellMar>
          <w:top w:w="0" w:type="dxa"/>
          <w:left w:w="0" w:type="dxa"/>
          <w:bottom w:w="0" w:type="dxa"/>
          <w:right w:w="0" w:type="dxa"/>
        </w:tblCellMar>
      </w:tblPr>
      <w:tblGrid>
        <w:gridCol w:w="23"/>
        <w:gridCol w:w="200"/>
        <w:gridCol w:w="1084"/>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1084"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u w:val="single"/>
              </w:rPr>
            </w:pPr>
            <w:r>
              <w:rPr>
                <w:rFonts w:ascii="Times New Roman;Times;serif" w:hAnsi="Times New Roman;Times;serif"/>
                <w:b w:val="false"/>
                <w:i w:val="false"/>
                <w:caps w:val="false"/>
                <w:smallCaps w:val="false"/>
                <w:spacing w:val="-2"/>
                <w:sz w:val="22"/>
                <w:u w:val="single"/>
              </w:rPr>
              <w:t>[Reserved].</w:t>
            </w:r>
          </w:p>
        </w:tc>
      </w:tr>
    </w:tbl>
    <w:tbl>
      <w:tblPr>
        <w:tblW w:w="8541" w:type="dxa"/>
        <w:jc w:val="left"/>
        <w:tblInd w:w="0" w:type="dxa"/>
        <w:tblLayout w:type="fixed"/>
        <w:tblCellMar>
          <w:top w:w="0" w:type="dxa"/>
          <w:left w:w="0" w:type="dxa"/>
          <w:bottom w:w="0" w:type="dxa"/>
          <w:right w:w="0" w:type="dxa"/>
        </w:tblCellMar>
      </w:tblPr>
      <w:tblGrid>
        <w:gridCol w:w="23"/>
        <w:gridCol w:w="200"/>
        <w:gridCol w:w="8318"/>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83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Amendments</w:t>
            </w:r>
            <w:r>
              <w:rPr>
                <w:caps w:val="false"/>
                <w:smallCaps w:val="false"/>
                <w:spacing w:val="-6"/>
                <w:u w:val="single"/>
              </w:rPr>
              <w:t xml:space="preserve"> </w:t>
            </w:r>
            <w:r>
              <w:rPr>
                <w:rFonts w:ascii="Times New Roman;Times;serif" w:hAnsi="Times New Roman;Times;serif"/>
                <w:b w:val="false"/>
                <w:i w:val="false"/>
                <w:caps w:val="false"/>
                <w:smallCaps w:val="false"/>
                <w:sz w:val="22"/>
                <w:u w:val="single"/>
              </w:rPr>
              <w:t>to</w:t>
            </w:r>
            <w:r>
              <w:rPr>
                <w:caps w:val="false"/>
                <w:smallCaps w:val="false"/>
                <w:spacing w:val="-6"/>
                <w:u w:val="single"/>
              </w:rPr>
              <w:t xml:space="preserve"> </w:t>
            </w:r>
            <w:r>
              <w:rPr>
                <w:rFonts w:ascii="Times New Roman;Times;serif" w:hAnsi="Times New Roman;Times;serif"/>
                <w:b w:val="false"/>
                <w:i w:val="false"/>
                <w:caps w:val="false"/>
                <w:smallCaps w:val="false"/>
                <w:sz w:val="22"/>
                <w:u w:val="single"/>
              </w:rPr>
              <w:t>Credit</w:t>
            </w:r>
            <w:r>
              <w:rPr>
                <w:caps w:val="false"/>
                <w:smallCaps w:val="false"/>
                <w:spacing w:val="-6"/>
                <w:u w:val="single"/>
              </w:rPr>
              <w:t xml:space="preserve"> </w:t>
            </w:r>
            <w:r>
              <w:rPr>
                <w:rFonts w:ascii="Times New Roman;Times;serif" w:hAnsi="Times New Roman;Times;serif"/>
                <w:b w:val="false"/>
                <w:i w:val="false"/>
                <w:caps w:val="false"/>
                <w:smallCaps w:val="false"/>
                <w:sz w:val="22"/>
                <w:u w:val="single"/>
              </w:rPr>
              <w:t>Agreement.</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6"/>
              </w:rPr>
              <w:t xml:space="preserve"> </w:t>
            </w:r>
            <w:r>
              <w:rPr>
                <w:rFonts w:ascii="Times New Roman;Times;serif" w:hAnsi="Times New Roman;Times;serif"/>
                <w:b w:val="false"/>
                <w:i w:val="false"/>
                <w:caps w:val="false"/>
                <w:smallCaps w:val="false"/>
                <w:sz w:val="22"/>
              </w:rPr>
              <w:t>Credit</w:t>
            </w:r>
            <w:r>
              <w:rPr>
                <w:caps w:val="false"/>
                <w:smallCaps w:val="false"/>
                <w:spacing w:val="-5"/>
              </w:rPr>
              <w:t xml:space="preserve"> </w:t>
            </w:r>
            <w:r>
              <w:rPr>
                <w:rFonts w:ascii="Times New Roman;Times;serif" w:hAnsi="Times New Roman;Times;serif"/>
                <w:b w:val="false"/>
                <w:i w:val="false"/>
                <w:caps w:val="false"/>
                <w:smallCaps w:val="false"/>
                <w:sz w:val="22"/>
              </w:rPr>
              <w:t>Agreement</w:t>
            </w:r>
            <w:r>
              <w:rPr>
                <w:caps w:val="false"/>
                <w:smallCaps w:val="false"/>
                <w:spacing w:val="-6"/>
              </w:rPr>
              <w:t xml:space="preserve"> </w:t>
            </w:r>
            <w:r>
              <w:rPr>
                <w:rFonts w:ascii="Times New Roman;Times;serif" w:hAnsi="Times New Roman;Times;serif"/>
                <w:b w:val="false"/>
                <w:i w:val="false"/>
                <w:caps w:val="false"/>
                <w:smallCaps w:val="false"/>
                <w:sz w:val="22"/>
              </w:rPr>
              <w:t>is</w:t>
            </w:r>
            <w:r>
              <w:rPr>
                <w:caps w:val="false"/>
                <w:smallCaps w:val="false"/>
                <w:spacing w:val="-6"/>
              </w:rPr>
              <w:t xml:space="preserve"> </w:t>
            </w:r>
            <w:r>
              <w:rPr>
                <w:rFonts w:ascii="Times New Roman;Times;serif" w:hAnsi="Times New Roman;Times;serif"/>
                <w:b w:val="false"/>
                <w:i w:val="false"/>
                <w:caps w:val="false"/>
                <w:smallCaps w:val="false"/>
                <w:sz w:val="22"/>
              </w:rPr>
              <w:t>hereby</w:t>
            </w:r>
            <w:r>
              <w:rPr>
                <w:caps w:val="false"/>
                <w:smallCaps w:val="false"/>
                <w:spacing w:val="-6"/>
              </w:rPr>
              <w:t xml:space="preserve"> </w:t>
            </w:r>
            <w:r>
              <w:rPr>
                <w:rFonts w:ascii="Times New Roman;Times;serif" w:hAnsi="Times New Roman;Times;serif"/>
                <w:b w:val="false"/>
                <w:i w:val="false"/>
                <w:caps w:val="false"/>
                <w:smallCaps w:val="false"/>
                <w:sz w:val="22"/>
              </w:rPr>
              <w:t>amended</w:t>
            </w:r>
            <w:r>
              <w:rPr>
                <w:caps w:val="false"/>
                <w:smallCaps w:val="false"/>
                <w:spacing w:val="-6"/>
              </w:rPr>
              <w:t xml:space="preserve"> </w:t>
            </w:r>
            <w:r>
              <w:rPr>
                <w:rFonts w:ascii="Times New Roman;Times;serif" w:hAnsi="Times New Roman;Times;serif"/>
                <w:b w:val="false"/>
                <w:i w:val="false"/>
                <w:caps w:val="false"/>
                <w:smallCaps w:val="false"/>
                <w:sz w:val="22"/>
              </w:rPr>
              <w:t>as</w:t>
            </w:r>
            <w:r>
              <w:rPr>
                <w:caps w:val="false"/>
                <w:smallCaps w:val="false"/>
                <w:spacing w:val="-6"/>
              </w:rPr>
              <w:t xml:space="preserve"> </w:t>
            </w:r>
            <w:r>
              <w:rPr>
                <w:rFonts w:ascii="Times New Roman;Times;serif" w:hAnsi="Times New Roman;Times;serif"/>
                <w:b w:val="false"/>
                <w:i w:val="false"/>
                <w:caps w:val="false"/>
                <w:smallCaps w:val="false"/>
                <w:spacing w:val="-2"/>
                <w:sz w:val="22"/>
              </w:rPr>
              <w:t>follows:</w:t>
            </w:r>
          </w:p>
        </w:tc>
      </w:tr>
    </w:tbl>
    <w:tbl>
      <w:tblPr>
        <w:tblW w:w="10106" w:type="dxa"/>
        <w:jc w:val="left"/>
        <w:tblInd w:w="0" w:type="dxa"/>
        <w:tblLayout w:type="fixed"/>
        <w:tblCellMar>
          <w:top w:w="0" w:type="dxa"/>
          <w:left w:w="0" w:type="dxa"/>
          <w:bottom w:w="0" w:type="dxa"/>
          <w:right w:w="0" w:type="dxa"/>
        </w:tblCellMar>
      </w:tblPr>
      <w:tblGrid>
        <w:gridCol w:w="23"/>
        <w:gridCol w:w="275"/>
        <w:gridCol w:w="978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7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Section</w:t>
            </w:r>
            <w:r>
              <w:rPr>
                <w:caps w:val="false"/>
                <w:smallCaps w:val="false"/>
                <w:spacing w:val="-2"/>
              </w:rPr>
              <w:t xml:space="preserve"> </w:t>
            </w:r>
            <w:r>
              <w:rPr>
                <w:rFonts w:ascii="Times New Roman;Times;serif" w:hAnsi="Times New Roman;Times;serif"/>
                <w:b w:val="false"/>
                <w:i w:val="false"/>
                <w:caps w:val="false"/>
                <w:smallCaps w:val="false"/>
                <w:sz w:val="22"/>
              </w:rPr>
              <w:t>6.4(b)</w:t>
            </w:r>
            <w:r>
              <w:rPr>
                <w:caps w:val="false"/>
                <w:smallCaps w:val="false"/>
                <w:spacing w:val="-2"/>
              </w:rPr>
              <w:t xml:space="preserve"> </w:t>
            </w:r>
            <w:r>
              <w:rPr>
                <w:rFonts w:ascii="Times New Roman;Times;serif" w:hAnsi="Times New Roman;Times;serif"/>
                <w:b w:val="false"/>
                <w:i w:val="false"/>
                <w:caps w:val="false"/>
                <w:smallCaps w:val="false"/>
                <w:sz w:val="22"/>
              </w:rPr>
              <w:t>is</w:t>
            </w:r>
            <w:r>
              <w:rPr>
                <w:caps w:val="false"/>
                <w:smallCaps w:val="false"/>
                <w:spacing w:val="-2"/>
              </w:rPr>
              <w:t xml:space="preserve"> </w:t>
            </w:r>
            <w:r>
              <w:rPr>
                <w:rFonts w:ascii="Times New Roman;Times;serif" w:hAnsi="Times New Roman;Times;serif"/>
                <w:b w:val="false"/>
                <w:i w:val="false"/>
                <w:caps w:val="false"/>
                <w:smallCaps w:val="false"/>
                <w:sz w:val="22"/>
              </w:rPr>
              <w:t>hereby</w:t>
            </w:r>
            <w:r>
              <w:rPr>
                <w:caps w:val="false"/>
                <w:smallCaps w:val="false"/>
                <w:spacing w:val="-2"/>
              </w:rPr>
              <w:t xml:space="preserve"> </w:t>
            </w:r>
            <w:r>
              <w:rPr>
                <w:rFonts w:ascii="Times New Roman;Times;serif" w:hAnsi="Times New Roman;Times;serif"/>
                <w:b w:val="false"/>
                <w:i w:val="false"/>
                <w:caps w:val="false"/>
                <w:smallCaps w:val="false"/>
                <w:sz w:val="22"/>
              </w:rPr>
              <w:t>amended</w:t>
            </w:r>
            <w:r>
              <w:rPr>
                <w:caps w:val="false"/>
                <w:smallCaps w:val="false"/>
                <w:spacing w:val="-2"/>
              </w:rPr>
              <w:t xml:space="preserve"> </w:t>
            </w:r>
            <w:r>
              <w:rPr>
                <w:rFonts w:ascii="Times New Roman;Times;serif" w:hAnsi="Times New Roman;Times;serif"/>
                <w:b w:val="false"/>
                <w:i w:val="false"/>
                <w:caps w:val="false"/>
                <w:smallCaps w:val="false"/>
                <w:sz w:val="22"/>
              </w:rPr>
              <w:t>by</w:t>
            </w:r>
            <w:r>
              <w:rPr>
                <w:caps w:val="false"/>
                <w:smallCaps w:val="false"/>
                <w:spacing w:val="-2"/>
              </w:rPr>
              <w:t xml:space="preserve"> </w:t>
            </w:r>
            <w:r>
              <w:rPr>
                <w:rFonts w:ascii="Times New Roman;Times;serif" w:hAnsi="Times New Roman;Times;serif"/>
                <w:b w:val="false"/>
                <w:i w:val="false"/>
                <w:caps w:val="false"/>
                <w:smallCaps w:val="false"/>
                <w:sz w:val="22"/>
              </w:rPr>
              <w:t>deleting</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same</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its</w:t>
            </w:r>
            <w:r>
              <w:rPr>
                <w:caps w:val="false"/>
                <w:smallCaps w:val="false"/>
                <w:spacing w:val="-2"/>
              </w:rPr>
              <w:t xml:space="preserve"> </w:t>
            </w:r>
            <w:r>
              <w:rPr>
                <w:rFonts w:ascii="Times New Roman;Times;serif" w:hAnsi="Times New Roman;Times;serif"/>
                <w:b w:val="false"/>
                <w:i w:val="false"/>
                <w:caps w:val="false"/>
                <w:smallCaps w:val="false"/>
                <w:sz w:val="22"/>
              </w:rPr>
              <w:t>entirety</w:t>
            </w:r>
            <w:r>
              <w:rPr>
                <w:caps w:val="false"/>
                <w:smallCaps w:val="false"/>
                <w:spacing w:val="-2"/>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replacing</w:t>
            </w:r>
            <w:r>
              <w:rPr>
                <w:caps w:val="false"/>
                <w:smallCaps w:val="false"/>
                <w:spacing w:val="-2"/>
              </w:rPr>
              <w:t xml:space="preserve"> </w:t>
            </w:r>
            <w:r>
              <w:rPr>
                <w:rFonts w:ascii="Times New Roman;Times;serif" w:hAnsi="Times New Roman;Times;serif"/>
                <w:b w:val="false"/>
                <w:i w:val="false"/>
                <w:caps w:val="false"/>
                <w:smallCaps w:val="false"/>
                <w:sz w:val="22"/>
              </w:rPr>
              <w:t>it</w:t>
            </w:r>
            <w:r>
              <w:rPr>
                <w:caps w:val="false"/>
                <w:smallCaps w:val="false"/>
                <w:spacing w:val="-2"/>
              </w:rPr>
              <w:t xml:space="preserve"> </w:t>
            </w:r>
            <w:r>
              <w:rPr>
                <w:rFonts w:ascii="Times New Roman;Times;serif" w:hAnsi="Times New Roman;Times;serif"/>
                <w:b w:val="false"/>
                <w:i w:val="false"/>
                <w:caps w:val="false"/>
                <w:smallCaps w:val="false"/>
                <w:sz w:val="22"/>
              </w:rPr>
              <w:t>with the following: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39" w:after="0"/>
        <w:ind w:left="1800" w:right="0" w:hanging="0"/>
        <w:jc w:val="left"/>
        <w:rPr>
          <w:rFonts w:ascii="Times New Roman;Times;serif" w:hAnsi="Times New Roman;Times;serif"/>
          <w:sz w:val="22"/>
        </w:rPr>
      </w:pPr>
      <w:r>
        <w:rPr>
          <w:rFonts w:ascii="Times New Roman;Times;serif" w:hAnsi="Times New Roman;Times;serif"/>
          <w:sz w:val="22"/>
        </w:rPr>
        <w:t>Notwithstanding</w:t>
      </w:r>
      <w:r>
        <w:rPr>
          <w:rFonts w:ascii="Times New Roman;Times;serif" w:hAnsi="Times New Roman;Times;serif"/>
          <w:spacing w:val="28"/>
          <w:sz w:val="22"/>
        </w:rPr>
        <w:t xml:space="preserve"> </w:t>
      </w:r>
      <w:r>
        <w:rPr>
          <w:rFonts w:ascii="Times New Roman;Times;serif" w:hAnsi="Times New Roman;Times;serif"/>
          <w:sz w:val="22"/>
        </w:rPr>
        <w:t>anything</w:t>
      </w:r>
      <w:r>
        <w:rPr>
          <w:rFonts w:ascii="Times New Roman;Times;serif" w:hAnsi="Times New Roman;Times;serif"/>
          <w:spacing w:val="27"/>
          <w:sz w:val="22"/>
        </w:rPr>
        <w:t xml:space="preserve"> </w:t>
      </w:r>
      <w:r>
        <w:rPr>
          <w:rFonts w:ascii="Times New Roman;Times;serif" w:hAnsi="Times New Roman;Times;serif"/>
          <w:sz w:val="22"/>
        </w:rPr>
        <w:t>to</w:t>
      </w:r>
      <w:r>
        <w:rPr>
          <w:rFonts w:ascii="Times New Roman;Times;serif" w:hAnsi="Times New Roman;Times;serif"/>
          <w:spacing w:val="28"/>
          <w:sz w:val="22"/>
        </w:rPr>
        <w:t xml:space="preserve"> </w:t>
      </w:r>
      <w:r>
        <w:rPr>
          <w:rFonts w:ascii="Times New Roman;Times;serif" w:hAnsi="Times New Roman;Times;serif"/>
          <w:sz w:val="22"/>
        </w:rPr>
        <w:t>the contrary</w:t>
      </w:r>
      <w:r>
        <w:rPr>
          <w:rFonts w:ascii="Times New Roman;Times;serif" w:hAnsi="Times New Roman;Times;serif"/>
          <w:spacing w:val="28"/>
          <w:sz w:val="22"/>
        </w:rPr>
        <w:t xml:space="preserve"> </w:t>
      </w:r>
      <w:r>
        <w:rPr>
          <w:rFonts w:ascii="Times New Roman;Times;serif" w:hAnsi="Times New Roman;Times;serif"/>
          <w:sz w:val="22"/>
        </w:rPr>
        <w:t>contained in</w:t>
      </w:r>
      <w:r>
        <w:rPr>
          <w:rFonts w:ascii="Times New Roman;Times;serif" w:hAnsi="Times New Roman;Times;serif"/>
          <w:spacing w:val="28"/>
          <w:sz w:val="22"/>
        </w:rPr>
        <w:t xml:space="preserve"> </w:t>
      </w:r>
      <w:r>
        <w:rPr>
          <w:rFonts w:ascii="Times New Roman;Times;serif" w:hAnsi="Times New Roman;Times;serif"/>
          <w:sz w:val="22"/>
        </w:rPr>
        <w:t>Section</w:t>
      </w:r>
      <w:r>
        <w:rPr>
          <w:rFonts w:ascii="Times New Roman;Times;serif" w:hAnsi="Times New Roman;Times;serif"/>
          <w:spacing w:val="27"/>
          <w:sz w:val="22"/>
        </w:rPr>
        <w:t xml:space="preserve"> </w:t>
      </w:r>
      <w:r>
        <w:rPr>
          <w:rFonts w:ascii="Times New Roman;Times;serif" w:hAnsi="Times New Roman;Times;serif"/>
          <w:sz w:val="22"/>
        </w:rPr>
        <w:t>6.4(a)</w:t>
      </w:r>
      <w:r>
        <w:rPr>
          <w:rFonts w:ascii="Times New Roman;Times;serif" w:hAnsi="Times New Roman;Times;serif"/>
          <w:spacing w:val="28"/>
          <w:sz w:val="22"/>
        </w:rPr>
        <w:t xml:space="preserve"> </w:t>
      </w:r>
      <w:r>
        <w:rPr>
          <w:rFonts w:ascii="Times New Roman;Times;serif" w:hAnsi="Times New Roman;Times;serif"/>
          <w:sz w:val="22"/>
        </w:rPr>
        <w:t>above</w:t>
      </w:r>
      <w:r>
        <w:rPr>
          <w:rFonts w:ascii="Times New Roman;Times;serif" w:hAnsi="Times New Roman;Times;serif"/>
          <w:spacing w:val="28"/>
          <w:sz w:val="22"/>
        </w:rPr>
        <w:t xml:space="preserve"> </w:t>
      </w:r>
      <w:r>
        <w:rPr>
          <w:rFonts w:ascii="Times New Roman;Times;serif" w:hAnsi="Times New Roman;Times;serif"/>
          <w:sz w:val="22"/>
        </w:rPr>
        <w:t>and</w:t>
      </w:r>
      <w:r>
        <w:rPr>
          <w:rFonts w:ascii="Times New Roman;Times;serif" w:hAnsi="Times New Roman;Times;serif"/>
          <w:spacing w:val="27"/>
          <w:sz w:val="22"/>
        </w:rPr>
        <w:t xml:space="preserve"> </w:t>
      </w:r>
      <w:r>
        <w:rPr>
          <w:rFonts w:ascii="Times New Roman;Times;serif" w:hAnsi="Times New Roman;Times;serif"/>
          <w:sz w:val="22"/>
        </w:rPr>
        <w:t>6.4(c) below,</w:t>
      </w:r>
      <w:r>
        <w:rPr>
          <w:rFonts w:ascii="Times New Roman;Times;serif" w:hAnsi="Times New Roman;Times;serif"/>
          <w:spacing w:val="9"/>
          <w:sz w:val="22"/>
        </w:rPr>
        <w:t xml:space="preserve"> </w:t>
      </w:r>
      <w:r>
        <w:rPr>
          <w:rFonts w:ascii="Times New Roman;Times;serif" w:hAnsi="Times New Roman;Times;serif"/>
          <w:sz w:val="22"/>
        </w:rPr>
        <w:t>Borrowers</w:t>
      </w:r>
      <w:r>
        <w:rPr>
          <w:rFonts w:ascii="Times New Roman;Times;serif" w:hAnsi="Times New Roman;Times;serif"/>
          <w:spacing w:val="11"/>
          <w:sz w:val="22"/>
        </w:rPr>
        <w:t xml:space="preserve"> </w:t>
      </w:r>
      <w:r>
        <w:rPr>
          <w:rFonts w:ascii="Times New Roman;Times;serif" w:hAnsi="Times New Roman;Times;serif"/>
          <w:sz w:val="22"/>
        </w:rPr>
        <w:t>may</w:t>
      </w:r>
      <w:r>
        <w:rPr>
          <w:rFonts w:ascii="Times New Roman;Times;serif" w:hAnsi="Times New Roman;Times;serif"/>
          <w:spacing w:val="10"/>
          <w:sz w:val="22"/>
        </w:rPr>
        <w:t xml:space="preserve"> </w:t>
      </w:r>
      <w:r>
        <w:rPr>
          <w:rFonts w:ascii="Times New Roman;Times;serif" w:hAnsi="Times New Roman;Times;serif"/>
          <w:sz w:val="22"/>
        </w:rPr>
        <w:t>form</w:t>
      </w:r>
      <w:r>
        <w:rPr>
          <w:rFonts w:ascii="Times New Roman;Times;serif" w:hAnsi="Times New Roman;Times;serif"/>
          <w:spacing w:val="9"/>
          <w:sz w:val="22"/>
        </w:rPr>
        <w:t xml:space="preserve"> </w:t>
      </w:r>
      <w:r>
        <w:rPr>
          <w:rFonts w:ascii="Times New Roman;Times;serif" w:hAnsi="Times New Roman;Times;serif"/>
          <w:sz w:val="22"/>
        </w:rPr>
        <w:t>a</w:t>
      </w:r>
      <w:r>
        <w:rPr>
          <w:rFonts w:ascii="Times New Roman;Times;serif" w:hAnsi="Times New Roman;Times;serif"/>
          <w:spacing w:val="10"/>
          <w:sz w:val="22"/>
        </w:rPr>
        <w:t xml:space="preserve"> </w:t>
      </w:r>
      <w:r>
        <w:rPr>
          <w:rFonts w:ascii="Times New Roman;Times;serif" w:hAnsi="Times New Roman;Times;serif"/>
          <w:sz w:val="22"/>
        </w:rPr>
        <w:t>new</w:t>
      </w:r>
      <w:r>
        <w:rPr>
          <w:rFonts w:ascii="Times New Roman;Times;serif" w:hAnsi="Times New Roman;Times;serif"/>
          <w:spacing w:val="10"/>
          <w:sz w:val="22"/>
        </w:rPr>
        <w:t xml:space="preserve"> </w:t>
      </w:r>
      <w:r>
        <w:rPr>
          <w:rFonts w:ascii="Times New Roman;Times;serif" w:hAnsi="Times New Roman;Times;serif"/>
          <w:sz w:val="22"/>
        </w:rPr>
        <w:t>Subsidiary</w:t>
      </w:r>
      <w:r>
        <w:rPr>
          <w:rFonts w:ascii="Times New Roman;Times;serif" w:hAnsi="Times New Roman;Times;serif"/>
          <w:spacing w:val="10"/>
          <w:sz w:val="22"/>
        </w:rPr>
        <w:t xml:space="preserve"> </w:t>
      </w:r>
      <w:r>
        <w:rPr>
          <w:rFonts w:ascii="Times New Roman;Times;serif" w:hAnsi="Times New Roman;Times;serif"/>
          <w:sz w:val="22"/>
        </w:rPr>
        <w:t>so</w:t>
      </w:r>
      <w:r>
        <w:rPr>
          <w:rFonts w:ascii="Times New Roman;Times;serif" w:hAnsi="Times New Roman;Times;serif"/>
          <w:spacing w:val="10"/>
          <w:sz w:val="22"/>
        </w:rPr>
        <w:t xml:space="preserve"> </w:t>
      </w:r>
      <w:r>
        <w:rPr>
          <w:rFonts w:ascii="Times New Roman;Times;serif" w:hAnsi="Times New Roman;Times;serif"/>
          <w:sz w:val="22"/>
        </w:rPr>
        <w:t>long</w:t>
      </w:r>
      <w:r>
        <w:rPr>
          <w:rFonts w:ascii="Times New Roman;Times;serif" w:hAnsi="Times New Roman;Times;serif"/>
          <w:spacing w:val="10"/>
          <w:sz w:val="22"/>
        </w:rPr>
        <w:t xml:space="preserve"> </w:t>
      </w:r>
      <w:r>
        <w:rPr>
          <w:rFonts w:ascii="Times New Roman;Times;serif" w:hAnsi="Times New Roman;Times;serif"/>
          <w:sz w:val="22"/>
        </w:rPr>
        <w:t>as</w:t>
      </w:r>
      <w:r>
        <w:rPr>
          <w:rFonts w:ascii="Times New Roman;Times;serif" w:hAnsi="Times New Roman;Times;serif"/>
          <w:spacing w:val="9"/>
          <w:sz w:val="22"/>
        </w:rPr>
        <w:t xml:space="preserve"> </w:t>
      </w:r>
      <w:r>
        <w:rPr>
          <w:rFonts w:ascii="Times New Roman;Times;serif" w:hAnsi="Times New Roman;Times;serif"/>
          <w:sz w:val="22"/>
        </w:rPr>
        <w:t>all</w:t>
      </w:r>
      <w:r>
        <w:rPr>
          <w:rFonts w:ascii="Times New Roman;Times;serif" w:hAnsi="Times New Roman;Times;serif"/>
          <w:spacing w:val="10"/>
          <w:sz w:val="22"/>
        </w:rPr>
        <w:t xml:space="preserve"> </w:t>
      </w:r>
      <w:r>
        <w:rPr>
          <w:rFonts w:ascii="Times New Roman;Times;serif" w:hAnsi="Times New Roman;Times;serif"/>
          <w:sz w:val="22"/>
        </w:rPr>
        <w:t>of</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0"/>
          <w:sz w:val="22"/>
        </w:rPr>
        <w:t xml:space="preserve"> </w:t>
      </w:r>
      <w:r>
        <w:rPr>
          <w:rFonts w:ascii="Times New Roman;Times;serif" w:hAnsi="Times New Roman;Times;serif"/>
          <w:sz w:val="22"/>
        </w:rPr>
        <w:t>following</w:t>
      </w:r>
      <w:r>
        <w:rPr>
          <w:rFonts w:ascii="Times New Roman;Times;serif" w:hAnsi="Times New Roman;Times;serif"/>
          <w:spacing w:val="9"/>
          <w:sz w:val="22"/>
        </w:rPr>
        <w:t xml:space="preserve"> </w:t>
      </w:r>
      <w:r>
        <w:rPr>
          <w:rFonts w:ascii="Times New Roman;Times;serif" w:hAnsi="Times New Roman;Times;serif"/>
          <w:spacing w:val="-2"/>
          <w:sz w:val="22"/>
        </w:rPr>
        <w:t>conditions</w:t>
      </w:r>
    </w:p>
    <w:p>
      <w:pPr>
        <w:pStyle w:val="TextBody"/>
        <w:pBdr/>
        <w:bidi w:val="0"/>
        <w:spacing w:before="240" w:after="283"/>
        <w:ind w:left="360" w:right="357" w:hanging="720"/>
        <w:jc w:val="left"/>
        <w:rPr/>
      </w:pPr>
      <w:r>
        <w:rPr/>
        <w:t>​</w:t>
      </w:r>
    </w:p>
    <w:p>
      <w:pPr>
        <w:pStyle w:val="TextBody"/>
        <w:bidi w:val="0"/>
        <w:spacing w:lineRule="auto" w:line="16" w:before="13" w:after="0"/>
        <w:ind w:left="20" w:right="0" w:hanging="0"/>
        <w:jc w:val="left"/>
        <w:rPr>
          <w:rFonts w:ascii="Times New Roman;Times;serif" w:hAnsi="Times New Roman;Times;serif"/>
          <w:spacing w:val="-2"/>
          <w:sz w:val="16"/>
        </w:rPr>
      </w:pPr>
      <w:r>
        <w:rPr>
          <w:rFonts w:ascii="Times New Roman;Times;serif" w:hAnsi="Times New Roman;Times;serif"/>
          <w:spacing w:val="-2"/>
          <w:sz w:val="16"/>
        </w:rPr>
        <w:t>220514334_3</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80" w:after="0"/>
        <w:ind w:left="1800" w:right="356" w:hanging="0"/>
        <w:jc w:val="both"/>
        <w:rPr>
          <w:rFonts w:ascii="Times New Roman;Times;serif" w:hAnsi="Times New Roman;Times;serif"/>
          <w:sz w:val="22"/>
        </w:rPr>
      </w:pPr>
      <w:r>
        <w:rPr>
          <w:rFonts w:ascii="Times New Roman;Times;serif" w:hAnsi="Times New Roman;Times;serif"/>
          <w:sz w:val="22"/>
        </w:rPr>
        <w:t>are satisfied on or before the date that is 30 days after such Subsidiary is formed (or such later date agreed to by Lender in its sole discretion) (i) such Subsidiary, as determined by the Lender in its discretion, shall become either (A) a co-borrower under this Agreement and the other Loan Documents, or (B) a guarantor of all of the Obligations, (ii) such Subsidiary and the Borrowers execute and deliver to the Lender such joinders, security agreements, financing statements, pledge agreements, guaranties, certificates, legal opinions</w:t>
      </w:r>
      <w:r>
        <w:rPr>
          <w:rFonts w:ascii="Times New Roman;Times;serif" w:hAnsi="Times New Roman;Times;serif"/>
          <w:spacing w:val="-10"/>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other</w:t>
      </w:r>
      <w:r>
        <w:rPr>
          <w:rFonts w:ascii="Times New Roman;Times;serif" w:hAnsi="Times New Roman;Times;serif"/>
          <w:spacing w:val="-10"/>
          <w:sz w:val="22"/>
        </w:rPr>
        <w:t xml:space="preserve"> </w:t>
      </w:r>
      <w:r>
        <w:rPr>
          <w:rFonts w:ascii="Times New Roman;Times;serif" w:hAnsi="Times New Roman;Times;serif"/>
          <w:sz w:val="22"/>
        </w:rPr>
        <w:t>Loan</w:t>
      </w:r>
      <w:r>
        <w:rPr>
          <w:rFonts w:ascii="Times New Roman;Times;serif" w:hAnsi="Times New Roman;Times;serif"/>
          <w:spacing w:val="-10"/>
          <w:sz w:val="22"/>
        </w:rPr>
        <w:t xml:space="preserve"> </w:t>
      </w:r>
      <w:r>
        <w:rPr>
          <w:rFonts w:ascii="Times New Roman;Times;serif" w:hAnsi="Times New Roman;Times;serif"/>
          <w:sz w:val="22"/>
        </w:rPr>
        <w:t>Documents</w:t>
      </w:r>
      <w:r>
        <w:rPr>
          <w:rFonts w:ascii="Times New Roman;Times;serif" w:hAnsi="Times New Roman;Times;serif"/>
          <w:spacing w:val="-10"/>
          <w:sz w:val="22"/>
        </w:rPr>
        <w:t xml:space="preserve"> </w:t>
      </w:r>
      <w:r>
        <w:rPr>
          <w:rFonts w:ascii="Times New Roman;Times;serif" w:hAnsi="Times New Roman;Times;serif"/>
          <w:sz w:val="22"/>
        </w:rPr>
        <w:t>as</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0"/>
          <w:sz w:val="22"/>
        </w:rPr>
        <w:t xml:space="preserve"> </w:t>
      </w:r>
      <w:r>
        <w:rPr>
          <w:rFonts w:ascii="Times New Roman;Times;serif" w:hAnsi="Times New Roman;Times;serif"/>
          <w:sz w:val="22"/>
        </w:rPr>
        <w:t>Lender</w:t>
      </w:r>
      <w:r>
        <w:rPr>
          <w:rFonts w:ascii="Times New Roman;Times;serif" w:hAnsi="Times New Roman;Times;serif"/>
          <w:spacing w:val="-8"/>
          <w:sz w:val="22"/>
        </w:rPr>
        <w:t xml:space="preserve"> </w:t>
      </w:r>
      <w:r>
        <w:rPr>
          <w:rFonts w:ascii="Times New Roman;Times;serif" w:hAnsi="Times New Roman;Times;serif"/>
          <w:sz w:val="22"/>
        </w:rPr>
        <w:t>may</w:t>
      </w:r>
      <w:r>
        <w:rPr>
          <w:rFonts w:ascii="Times New Roman;Times;serif" w:hAnsi="Times New Roman;Times;serif"/>
          <w:spacing w:val="-11"/>
          <w:sz w:val="22"/>
        </w:rPr>
        <w:t xml:space="preserve"> </w:t>
      </w:r>
      <w:r>
        <w:rPr>
          <w:rFonts w:ascii="Times New Roman;Times;serif" w:hAnsi="Times New Roman;Times;serif"/>
          <w:sz w:val="22"/>
        </w:rPr>
        <w:t>request</w:t>
      </w:r>
      <w:r>
        <w:rPr>
          <w:rFonts w:ascii="Times New Roman;Times;serif" w:hAnsi="Times New Roman;Times;serif"/>
          <w:spacing w:val="-10"/>
          <w:sz w:val="22"/>
        </w:rPr>
        <w:t xml:space="preserve"> </w:t>
      </w:r>
      <w:r>
        <w:rPr>
          <w:rFonts w:ascii="Times New Roman;Times;serif" w:hAnsi="Times New Roman;Times;serif"/>
          <w:sz w:val="22"/>
        </w:rPr>
        <w:t>to</w:t>
      </w:r>
      <w:r>
        <w:rPr>
          <w:rFonts w:ascii="Times New Roman;Times;serif" w:hAnsi="Times New Roman;Times;serif"/>
          <w:spacing w:val="-11"/>
          <w:sz w:val="22"/>
        </w:rPr>
        <w:t xml:space="preserve"> </w:t>
      </w:r>
      <w:r>
        <w:rPr>
          <w:rFonts w:ascii="Times New Roman;Times;serif" w:hAnsi="Times New Roman;Times;serif"/>
          <w:sz w:val="22"/>
        </w:rPr>
        <w:t>reflect</w:t>
      </w:r>
      <w:r>
        <w:rPr>
          <w:rFonts w:ascii="Times New Roman;Times;serif" w:hAnsi="Times New Roman;Times;serif"/>
          <w:spacing w:val="-10"/>
          <w:sz w:val="22"/>
        </w:rPr>
        <w:t xml:space="preserve"> </w:t>
      </w:r>
      <w:r>
        <w:rPr>
          <w:rFonts w:ascii="Times New Roman;Times;serif" w:hAnsi="Times New Roman;Times;serif"/>
          <w:sz w:val="22"/>
        </w:rPr>
        <w:t>its</w:t>
      </w:r>
      <w:r>
        <w:rPr>
          <w:rFonts w:ascii="Times New Roman;Times;serif" w:hAnsi="Times New Roman;Times;serif"/>
          <w:spacing w:val="-11"/>
          <w:sz w:val="22"/>
        </w:rPr>
        <w:t xml:space="preserve"> </w:t>
      </w:r>
      <w:r>
        <w:rPr>
          <w:rFonts w:ascii="Times New Roman;Times;serif" w:hAnsi="Times New Roman;Times;serif"/>
          <w:sz w:val="22"/>
        </w:rPr>
        <w:t>status</w:t>
      </w:r>
      <w:r>
        <w:rPr>
          <w:rFonts w:ascii="Times New Roman;Times;serif" w:hAnsi="Times New Roman;Times;serif"/>
          <w:spacing w:val="-11"/>
          <w:sz w:val="22"/>
        </w:rPr>
        <w:t xml:space="preserve"> </w:t>
      </w:r>
      <w:r>
        <w:rPr>
          <w:rFonts w:ascii="Times New Roman;Times;serif" w:hAnsi="Times New Roman;Times;serif"/>
          <w:sz w:val="22"/>
        </w:rPr>
        <w:t>as</w:t>
      </w:r>
      <w:r>
        <w:rPr>
          <w:rFonts w:ascii="Times New Roman;Times;serif" w:hAnsi="Times New Roman;Times;serif"/>
          <w:spacing w:val="-11"/>
          <w:sz w:val="22"/>
        </w:rPr>
        <w:t xml:space="preserve"> </w:t>
      </w:r>
      <w:r>
        <w:rPr>
          <w:rFonts w:ascii="Times New Roman;Times;serif" w:hAnsi="Times New Roman;Times;serif"/>
          <w:sz w:val="22"/>
        </w:rPr>
        <w:t>a</w:t>
      </w:r>
      <w:r>
        <w:rPr>
          <w:rFonts w:ascii="Times New Roman;Times;serif" w:hAnsi="Times New Roman;Times;serif"/>
          <w:spacing w:val="-10"/>
          <w:sz w:val="22"/>
        </w:rPr>
        <w:t xml:space="preserve"> </w:t>
      </w:r>
      <w:r>
        <w:rPr>
          <w:rFonts w:ascii="Times New Roman;Times;serif" w:hAnsi="Times New Roman;Times;serif"/>
          <w:sz w:val="22"/>
        </w:rPr>
        <w:t>new credit</w:t>
      </w:r>
      <w:r>
        <w:rPr>
          <w:rFonts w:ascii="Times New Roman;Times;serif" w:hAnsi="Times New Roman;Times;serif"/>
          <w:spacing w:val="-5"/>
          <w:sz w:val="22"/>
        </w:rPr>
        <w:t xml:space="preserve"> </w:t>
      </w:r>
      <w:r>
        <w:rPr>
          <w:rFonts w:ascii="Times New Roman;Times;serif" w:hAnsi="Times New Roman;Times;serif"/>
          <w:sz w:val="22"/>
        </w:rPr>
        <w:t>party</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transactions</w:t>
      </w:r>
      <w:r>
        <w:rPr>
          <w:rFonts w:ascii="Times New Roman;Times;serif" w:hAnsi="Times New Roman;Times;serif"/>
          <w:spacing w:val="-6"/>
          <w:sz w:val="22"/>
        </w:rPr>
        <w:t xml:space="preserve"> </w:t>
      </w:r>
      <w:r>
        <w:rPr>
          <w:rFonts w:ascii="Times New Roman;Times;serif" w:hAnsi="Times New Roman;Times;serif"/>
          <w:sz w:val="22"/>
        </w:rPr>
        <w:t>contemplated</w:t>
      </w:r>
      <w:r>
        <w:rPr>
          <w:rFonts w:ascii="Times New Roman;Times;serif" w:hAnsi="Times New Roman;Times;serif"/>
          <w:spacing w:val="-4"/>
          <w:sz w:val="22"/>
        </w:rPr>
        <w:t xml:space="preserve"> </w:t>
      </w:r>
      <w:r>
        <w:rPr>
          <w:rFonts w:ascii="Times New Roman;Times;serif" w:hAnsi="Times New Roman;Times;serif"/>
          <w:sz w:val="22"/>
        </w:rPr>
        <w:t>hereby,</w:t>
      </w:r>
      <w:r>
        <w:rPr>
          <w:rFonts w:ascii="Times New Roman;Times;serif" w:hAnsi="Times New Roman;Times;serif"/>
          <w:spacing w:val="-7"/>
          <w:sz w:val="22"/>
        </w:rPr>
        <w:t xml:space="preserve"> </w:t>
      </w:r>
      <w:r>
        <w:rPr>
          <w:rFonts w:ascii="Times New Roman;Times;serif" w:hAnsi="Times New Roman;Times;serif"/>
          <w:sz w:val="22"/>
        </w:rPr>
        <w:t>and</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evidence</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Lender’s</w:t>
      </w:r>
      <w:r>
        <w:rPr>
          <w:rFonts w:ascii="Times New Roman;Times;serif" w:hAnsi="Times New Roman;Times;serif"/>
          <w:spacing w:val="-5"/>
          <w:sz w:val="22"/>
        </w:rPr>
        <w:t xml:space="preserve"> </w:t>
      </w:r>
      <w:r>
        <w:rPr>
          <w:rFonts w:ascii="Times New Roman;Times;serif" w:hAnsi="Times New Roman;Times;serif"/>
          <w:sz w:val="22"/>
        </w:rPr>
        <w:t>Lien</w:t>
      </w:r>
      <w:r>
        <w:rPr>
          <w:rFonts w:ascii="Times New Roman;Times;serif" w:hAnsi="Times New Roman;Times;serif"/>
          <w:spacing w:val="-5"/>
          <w:sz w:val="22"/>
        </w:rPr>
        <w:t xml:space="preserve"> </w:t>
      </w:r>
      <w:r>
        <w:rPr>
          <w:rFonts w:ascii="Times New Roman;Times;serif" w:hAnsi="Times New Roman;Times;serif"/>
          <w:sz w:val="22"/>
        </w:rPr>
        <w:t>on the</w:t>
      </w:r>
      <w:r>
        <w:rPr>
          <w:rFonts w:ascii="Times New Roman;Times;serif" w:hAnsi="Times New Roman;Times;serif"/>
          <w:spacing w:val="-3"/>
          <w:sz w:val="22"/>
        </w:rPr>
        <w:t xml:space="preserve"> </w:t>
      </w:r>
      <w:r>
        <w:rPr>
          <w:rFonts w:ascii="Times New Roman;Times;serif" w:hAnsi="Times New Roman;Times;serif"/>
          <w:sz w:val="22"/>
        </w:rPr>
        <w:t>Collateral</w:t>
      </w:r>
      <w:r>
        <w:rPr>
          <w:rFonts w:ascii="Times New Roman;Times;serif" w:hAnsi="Times New Roman;Times;serif"/>
          <w:spacing w:val="-3"/>
          <w:sz w:val="22"/>
        </w:rPr>
        <w:t xml:space="preserve"> </w:t>
      </w:r>
      <w:r>
        <w:rPr>
          <w:rFonts w:ascii="Times New Roman;Times;serif" w:hAnsi="Times New Roman;Times;serif"/>
          <w:sz w:val="22"/>
        </w:rPr>
        <w:t>(including</w:t>
      </w:r>
      <w:r>
        <w:rPr>
          <w:rFonts w:ascii="Times New Roman;Times;serif" w:hAnsi="Times New Roman;Times;serif"/>
          <w:spacing w:val="-3"/>
          <w:sz w:val="22"/>
        </w:rPr>
        <w:t xml:space="preserve"> </w:t>
      </w:r>
      <w:r>
        <w:rPr>
          <w:rFonts w:ascii="Times New Roman;Times;serif" w:hAnsi="Times New Roman;Times;serif"/>
          <w:sz w:val="22"/>
        </w:rPr>
        <w:t>any</w:t>
      </w:r>
      <w:r>
        <w:rPr>
          <w:rFonts w:ascii="Times New Roman;Times;serif" w:hAnsi="Times New Roman;Times;serif"/>
          <w:spacing w:val="-3"/>
          <w:sz w:val="22"/>
        </w:rPr>
        <w:t xml:space="preserve"> </w:t>
      </w:r>
      <w:r>
        <w:rPr>
          <w:rFonts w:ascii="Times New Roman;Times;serif" w:hAnsi="Times New Roman;Times;serif"/>
          <w:sz w:val="22"/>
        </w:rPr>
        <w:t>Collateral</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such</w:t>
      </w:r>
      <w:r>
        <w:rPr>
          <w:rFonts w:ascii="Times New Roman;Times;serif" w:hAnsi="Times New Roman;Times;serif"/>
          <w:spacing w:val="-6"/>
          <w:sz w:val="22"/>
        </w:rPr>
        <w:t xml:space="preserve"> </w:t>
      </w:r>
      <w:r>
        <w:rPr>
          <w:rFonts w:ascii="Times New Roman;Times;serif" w:hAnsi="Times New Roman;Times;serif"/>
          <w:sz w:val="22"/>
        </w:rPr>
        <w:t>Subsidiary</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equity</w:t>
      </w:r>
      <w:r>
        <w:rPr>
          <w:rFonts w:ascii="Times New Roman;Times;serif" w:hAnsi="Times New Roman;Times;serif"/>
          <w:spacing w:val="-3"/>
          <w:sz w:val="22"/>
        </w:rPr>
        <w:t xml:space="preserve"> </w:t>
      </w:r>
      <w:r>
        <w:rPr>
          <w:rFonts w:ascii="Times New Roman;Times;serif" w:hAnsi="Times New Roman;Times;serif"/>
          <w:sz w:val="22"/>
        </w:rPr>
        <w:t>interests</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such Subsidiary)</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perfection</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priority</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Lender’s</w:t>
      </w:r>
      <w:r>
        <w:rPr>
          <w:rFonts w:ascii="Times New Roman;Times;serif" w:hAnsi="Times New Roman;Times;serif"/>
          <w:spacing w:val="-3"/>
          <w:sz w:val="22"/>
        </w:rPr>
        <w:t xml:space="preserve"> </w:t>
      </w:r>
      <w:r>
        <w:rPr>
          <w:rFonts w:ascii="Times New Roman;Times;serif" w:hAnsi="Times New Roman;Times;serif"/>
          <w:sz w:val="22"/>
        </w:rPr>
        <w:t>Security</w:t>
      </w:r>
      <w:r>
        <w:rPr>
          <w:rFonts w:ascii="Times New Roman;Times;serif" w:hAnsi="Times New Roman;Times;serif"/>
          <w:spacing w:val="-3"/>
          <w:sz w:val="22"/>
        </w:rPr>
        <w:t xml:space="preserve"> </w:t>
      </w:r>
      <w:r>
        <w:rPr>
          <w:rFonts w:ascii="Times New Roman;Times;serif" w:hAnsi="Times New Roman;Times;serif"/>
          <w:sz w:val="22"/>
        </w:rPr>
        <w:t>Interest</w:t>
      </w:r>
      <w:r>
        <w:rPr>
          <w:rFonts w:ascii="Times New Roman;Times;serif" w:hAnsi="Times New Roman;Times;serif"/>
          <w:spacing w:val="-3"/>
          <w:sz w:val="22"/>
        </w:rPr>
        <w:t xml:space="preserve"> </w:t>
      </w:r>
      <w:r>
        <w:rPr>
          <w:rFonts w:ascii="Times New Roman;Times;serif" w:hAnsi="Times New Roman;Times;serif"/>
          <w:sz w:val="22"/>
        </w:rPr>
        <w:t>in</w:t>
      </w:r>
      <w:r>
        <w:rPr>
          <w:rFonts w:ascii="Times New Roman;Times;serif" w:hAnsi="Times New Roman;Times;serif"/>
          <w:spacing w:val="-3"/>
          <w:sz w:val="22"/>
        </w:rPr>
        <w:t xml:space="preserve"> </w:t>
      </w:r>
      <w:r>
        <w:rPr>
          <w:rFonts w:ascii="Times New Roman;Times;serif" w:hAnsi="Times New Roman;Times;serif"/>
          <w:sz w:val="22"/>
        </w:rPr>
        <w:t>accordance with</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terms</w:t>
      </w:r>
      <w:r>
        <w:rPr>
          <w:rFonts w:ascii="Times New Roman;Times;serif" w:hAnsi="Times New Roman;Times;serif"/>
          <w:spacing w:val="-6"/>
          <w:sz w:val="22"/>
        </w:rPr>
        <w:t xml:space="preserve"> </w:t>
      </w:r>
      <w:r>
        <w:rPr>
          <w:rFonts w:ascii="Times New Roman;Times;serif" w:hAnsi="Times New Roman;Times;serif"/>
          <w:sz w:val="22"/>
        </w:rPr>
        <w:t>hereof,</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7"/>
          <w:sz w:val="22"/>
        </w:rPr>
        <w:t xml:space="preserve"> </w:t>
      </w:r>
      <w:r>
        <w:rPr>
          <w:rFonts w:ascii="Times New Roman;Times;serif" w:hAnsi="Times New Roman;Times;serif"/>
          <w:sz w:val="22"/>
        </w:rPr>
        <w:t>(iii)</w:t>
      </w:r>
      <w:r>
        <w:rPr>
          <w:rFonts w:ascii="Times New Roman;Times;serif" w:hAnsi="Times New Roman;Times;serif"/>
          <w:spacing w:val="-6"/>
          <w:sz w:val="22"/>
        </w:rPr>
        <w:t xml:space="preserve"> </w:t>
      </w:r>
      <w:r>
        <w:rPr>
          <w:rFonts w:ascii="Times New Roman;Times;serif" w:hAnsi="Times New Roman;Times;serif"/>
          <w:sz w:val="22"/>
        </w:rPr>
        <w:t>such</w:t>
      </w:r>
      <w:r>
        <w:rPr>
          <w:rFonts w:ascii="Times New Roman;Times;serif" w:hAnsi="Times New Roman;Times;serif"/>
          <w:spacing w:val="-6"/>
          <w:sz w:val="22"/>
        </w:rPr>
        <w:t xml:space="preserve"> </w:t>
      </w:r>
      <w:r>
        <w:rPr>
          <w:rFonts w:ascii="Times New Roman;Times;serif" w:hAnsi="Times New Roman;Times;serif"/>
          <w:sz w:val="22"/>
        </w:rPr>
        <w:t>Subsidiary</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Borrowers</w:t>
      </w:r>
      <w:r>
        <w:rPr>
          <w:rFonts w:ascii="Times New Roman;Times;serif" w:hAnsi="Times New Roman;Times;serif"/>
          <w:spacing w:val="-6"/>
          <w:sz w:val="22"/>
        </w:rPr>
        <w:t xml:space="preserve"> </w:t>
      </w:r>
      <w:r>
        <w:rPr>
          <w:rFonts w:ascii="Times New Roman;Times;serif" w:hAnsi="Times New Roman;Times;serif"/>
          <w:sz w:val="22"/>
        </w:rPr>
        <w:t>shall</w:t>
      </w:r>
      <w:r>
        <w:rPr>
          <w:rFonts w:ascii="Times New Roman;Times;serif" w:hAnsi="Times New Roman;Times;serif"/>
          <w:spacing w:val="-5"/>
          <w:sz w:val="22"/>
        </w:rPr>
        <w:t xml:space="preserve"> </w:t>
      </w:r>
      <w:r>
        <w:rPr>
          <w:rFonts w:ascii="Times New Roman;Times;serif" w:hAnsi="Times New Roman;Times;serif"/>
          <w:sz w:val="22"/>
        </w:rPr>
        <w:t>provide</w:t>
      </w:r>
      <w:r>
        <w:rPr>
          <w:rFonts w:ascii="Times New Roman;Times;serif" w:hAnsi="Times New Roman;Times;serif"/>
          <w:spacing w:val="-5"/>
          <w:sz w:val="22"/>
        </w:rPr>
        <w:t xml:space="preserve"> </w:t>
      </w:r>
      <w:r>
        <w:rPr>
          <w:rFonts w:ascii="Times New Roman;Times;serif" w:hAnsi="Times New Roman;Times;serif"/>
          <w:sz w:val="22"/>
        </w:rPr>
        <w:t>additional information</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documentation</w:t>
      </w:r>
      <w:r>
        <w:rPr>
          <w:rFonts w:ascii="Times New Roman;Times;serif" w:hAnsi="Times New Roman;Times;serif"/>
          <w:spacing w:val="-9"/>
          <w:sz w:val="22"/>
        </w:rPr>
        <w:t xml:space="preserve"> </w:t>
      </w:r>
      <w:r>
        <w:rPr>
          <w:rFonts w:ascii="Times New Roman;Times;serif" w:hAnsi="Times New Roman;Times;serif"/>
          <w:sz w:val="22"/>
        </w:rPr>
        <w:t>regarding</w:t>
      </w:r>
      <w:r>
        <w:rPr>
          <w:rFonts w:ascii="Times New Roman;Times;serif" w:hAnsi="Times New Roman;Times;serif"/>
          <w:spacing w:val="-9"/>
          <w:sz w:val="22"/>
        </w:rPr>
        <w:t xml:space="preserve"> </w:t>
      </w:r>
      <w:r>
        <w:rPr>
          <w:rFonts w:ascii="Times New Roman;Times;serif" w:hAnsi="Times New Roman;Times;serif"/>
          <w:sz w:val="22"/>
        </w:rPr>
        <w:t>such</w:t>
      </w:r>
      <w:r>
        <w:rPr>
          <w:rFonts w:ascii="Times New Roman;Times;serif" w:hAnsi="Times New Roman;Times;serif"/>
          <w:spacing w:val="-10"/>
          <w:sz w:val="22"/>
        </w:rPr>
        <w:t xml:space="preserve"> </w:t>
      </w:r>
      <w:r>
        <w:rPr>
          <w:rFonts w:ascii="Times New Roman;Times;serif" w:hAnsi="Times New Roman;Times;serif"/>
          <w:sz w:val="22"/>
        </w:rPr>
        <w:t>Subsidiary</w:t>
      </w:r>
      <w:r>
        <w:rPr>
          <w:rFonts w:ascii="Times New Roman;Times;serif" w:hAnsi="Times New Roman;Times;serif"/>
          <w:spacing w:val="-9"/>
          <w:sz w:val="22"/>
        </w:rPr>
        <w:t xml:space="preserve"> </w:t>
      </w:r>
      <w:r>
        <w:rPr>
          <w:rFonts w:ascii="Times New Roman;Times;serif" w:hAnsi="Times New Roman;Times;serif"/>
          <w:sz w:val="22"/>
        </w:rPr>
        <w:t>as</w:t>
      </w:r>
      <w:r>
        <w:rPr>
          <w:rFonts w:ascii="Times New Roman;Times;serif" w:hAnsi="Times New Roman;Times;serif"/>
          <w:spacing w:val="-9"/>
          <w:sz w:val="22"/>
        </w:rPr>
        <w:t xml:space="preserve"> </w:t>
      </w:r>
      <w:r>
        <w:rPr>
          <w:rFonts w:ascii="Times New Roman;Times;serif" w:hAnsi="Times New Roman;Times;serif"/>
          <w:sz w:val="22"/>
        </w:rPr>
        <w:t>may</w:t>
      </w:r>
      <w:r>
        <w:rPr>
          <w:rFonts w:ascii="Times New Roman;Times;serif" w:hAnsi="Times New Roman;Times;serif"/>
          <w:spacing w:val="-9"/>
          <w:sz w:val="22"/>
        </w:rPr>
        <w:t xml:space="preserve"> </w:t>
      </w:r>
      <w:r>
        <w:rPr>
          <w:rFonts w:ascii="Times New Roman;Times;serif" w:hAnsi="Times New Roman;Times;serif"/>
          <w:sz w:val="22"/>
        </w:rPr>
        <w:t>be</w:t>
      </w:r>
      <w:r>
        <w:rPr>
          <w:rFonts w:ascii="Times New Roman;Times;serif" w:hAnsi="Times New Roman;Times;serif"/>
          <w:spacing w:val="-9"/>
          <w:sz w:val="22"/>
        </w:rPr>
        <w:t xml:space="preserve"> </w:t>
      </w:r>
      <w:r>
        <w:rPr>
          <w:rFonts w:ascii="Times New Roman;Times;serif" w:hAnsi="Times New Roman;Times;serif"/>
          <w:sz w:val="22"/>
        </w:rPr>
        <w:t>reasonably</w:t>
      </w:r>
      <w:r>
        <w:rPr>
          <w:rFonts w:ascii="Times New Roman;Times;serif" w:hAnsi="Times New Roman;Times;serif"/>
          <w:spacing w:val="-9"/>
          <w:sz w:val="22"/>
        </w:rPr>
        <w:t xml:space="preserve"> </w:t>
      </w:r>
      <w:r>
        <w:rPr>
          <w:rFonts w:ascii="Times New Roman;Times;serif" w:hAnsi="Times New Roman;Times;serif"/>
          <w:sz w:val="22"/>
        </w:rPr>
        <w:t>requested by the Lender in connection with such joinder.</w:t>
      </w:r>
    </w:p>
    <w:p>
      <w:pPr>
        <w:pStyle w:val="TextBody"/>
        <w:bidi w:val="0"/>
        <w:ind w:left="1079" w:right="356" w:hanging="0"/>
        <w:jc w:val="both"/>
        <w:rPr>
          <w:rFonts w:ascii="Times New Roman;Times;serif" w:hAnsi="Times New Roman;Times;serif"/>
          <w:sz w:val="22"/>
        </w:rPr>
      </w:pPr>
      <w:r>
        <w:rPr>
          <w:rFonts w:ascii="Times New Roman;Times;serif" w:hAnsi="Times New Roman;Times;serif"/>
          <w:sz w:val="22"/>
        </w:rPr>
        <w:t>(b)Section</w:t>
      </w:r>
      <w:r>
        <w:rPr>
          <w:rFonts w:ascii="Times New Roman;Times;serif" w:hAnsi="Times New Roman;Times;serif"/>
          <w:spacing w:val="-1"/>
          <w:sz w:val="22"/>
        </w:rPr>
        <w:t xml:space="preserve"> </w:t>
      </w:r>
      <w:r>
        <w:rPr>
          <w:rFonts w:ascii="Times New Roman;Times;serif" w:hAnsi="Times New Roman;Times;serif"/>
          <w:sz w:val="22"/>
        </w:rPr>
        <w:t>6.4(c)</w:t>
      </w:r>
      <w:r>
        <w:rPr>
          <w:rFonts w:ascii="Times New Roman;Times;serif" w:hAnsi="Times New Roman;Times;serif"/>
          <w:spacing w:val="-1"/>
          <w:sz w:val="22"/>
        </w:rPr>
        <w:t xml:space="preserve"> </w:t>
      </w:r>
      <w:r>
        <w:rPr>
          <w:rFonts w:ascii="Times New Roman;Times;serif" w:hAnsi="Times New Roman;Times;serif"/>
          <w:sz w:val="22"/>
        </w:rPr>
        <w:t>is</w:t>
      </w:r>
      <w:r>
        <w:rPr>
          <w:rFonts w:ascii="Times New Roman;Times;serif" w:hAnsi="Times New Roman;Times;serif"/>
          <w:spacing w:val="-1"/>
          <w:sz w:val="22"/>
        </w:rPr>
        <w:t xml:space="preserve"> </w:t>
      </w:r>
      <w:r>
        <w:rPr>
          <w:rFonts w:ascii="Times New Roman;Times;serif" w:hAnsi="Times New Roman;Times;serif"/>
          <w:sz w:val="22"/>
        </w:rPr>
        <w:t>hereby</w:t>
      </w:r>
      <w:r>
        <w:rPr>
          <w:rFonts w:ascii="Times New Roman;Times;serif" w:hAnsi="Times New Roman;Times;serif"/>
          <w:spacing w:val="-1"/>
          <w:sz w:val="22"/>
        </w:rPr>
        <w:t xml:space="preserve"> </w:t>
      </w:r>
      <w:r>
        <w:rPr>
          <w:rFonts w:ascii="Times New Roman;Times;serif" w:hAnsi="Times New Roman;Times;serif"/>
          <w:sz w:val="22"/>
        </w:rPr>
        <w:t>amended</w:t>
      </w:r>
      <w:r>
        <w:rPr>
          <w:rFonts w:ascii="Times New Roman;Times;serif" w:hAnsi="Times New Roman;Times;serif"/>
          <w:spacing w:val="-1"/>
          <w:sz w:val="22"/>
        </w:rPr>
        <w:t xml:space="preserve"> </w:t>
      </w:r>
      <w:r>
        <w:rPr>
          <w:rFonts w:ascii="Times New Roman;Times;serif" w:hAnsi="Times New Roman;Times;serif"/>
          <w:sz w:val="22"/>
        </w:rPr>
        <w:t>by</w:t>
      </w:r>
      <w:r>
        <w:rPr>
          <w:rFonts w:ascii="Times New Roman;Times;serif" w:hAnsi="Times New Roman;Times;serif"/>
          <w:spacing w:val="-1"/>
          <w:sz w:val="22"/>
        </w:rPr>
        <w:t xml:space="preserve"> </w:t>
      </w:r>
      <w:r>
        <w:rPr>
          <w:rFonts w:ascii="Times New Roman;Times;serif" w:hAnsi="Times New Roman;Times;serif"/>
          <w:sz w:val="22"/>
        </w:rPr>
        <w:t>deleting</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same</w:t>
      </w:r>
      <w:r>
        <w:rPr>
          <w:rFonts w:ascii="Times New Roman;Times;serif" w:hAnsi="Times New Roman;Times;serif"/>
          <w:spacing w:val="-1"/>
          <w:sz w:val="22"/>
        </w:rPr>
        <w:t xml:space="preserve"> </w:t>
      </w:r>
      <w:r>
        <w:rPr>
          <w:rFonts w:ascii="Times New Roman;Times;serif" w:hAnsi="Times New Roman;Times;serif"/>
          <w:sz w:val="22"/>
        </w:rPr>
        <w:t>in</w:t>
      </w:r>
      <w:r>
        <w:rPr>
          <w:rFonts w:ascii="Times New Roman;Times;serif" w:hAnsi="Times New Roman;Times;serif"/>
          <w:spacing w:val="-3"/>
          <w:sz w:val="22"/>
        </w:rPr>
        <w:t xml:space="preserve"> </w:t>
      </w:r>
      <w:r>
        <w:rPr>
          <w:rFonts w:ascii="Times New Roman;Times;serif" w:hAnsi="Times New Roman;Times;serif"/>
          <w:sz w:val="22"/>
        </w:rPr>
        <w:t>its</w:t>
      </w:r>
      <w:r>
        <w:rPr>
          <w:rFonts w:ascii="Times New Roman;Times;serif" w:hAnsi="Times New Roman;Times;serif"/>
          <w:spacing w:val="-1"/>
          <w:sz w:val="22"/>
        </w:rPr>
        <w:t xml:space="preserve"> </w:t>
      </w:r>
      <w:r>
        <w:rPr>
          <w:rFonts w:ascii="Times New Roman;Times;serif" w:hAnsi="Times New Roman;Times;serif"/>
          <w:sz w:val="22"/>
        </w:rPr>
        <w:t>entirety</w:t>
      </w:r>
      <w:r>
        <w:rPr>
          <w:rFonts w:ascii="Times New Roman;Times;serif" w:hAnsi="Times New Roman;Times;serif"/>
          <w:spacing w:val="-1"/>
          <w:sz w:val="22"/>
        </w:rPr>
        <w:t xml:space="preserve"> </w:t>
      </w:r>
      <w:r>
        <w:rPr>
          <w:rFonts w:ascii="Times New Roman;Times;serif" w:hAnsi="Times New Roman;Times;serif"/>
          <w:sz w:val="22"/>
        </w:rPr>
        <w:t>and</w:t>
      </w:r>
      <w:r>
        <w:rPr>
          <w:rFonts w:ascii="Times New Roman;Times;serif" w:hAnsi="Times New Roman;Times;serif"/>
          <w:spacing w:val="-1"/>
          <w:sz w:val="22"/>
        </w:rPr>
        <w:t xml:space="preserve"> </w:t>
      </w:r>
      <w:r>
        <w:rPr>
          <w:rFonts w:ascii="Times New Roman;Times;serif" w:hAnsi="Times New Roman;Times;serif"/>
          <w:sz w:val="22"/>
        </w:rPr>
        <w:t>replacing</w:t>
      </w:r>
      <w:r>
        <w:rPr>
          <w:rFonts w:ascii="Times New Roman;Times;serif" w:hAnsi="Times New Roman;Times;serif"/>
          <w:spacing w:val="-1"/>
          <w:sz w:val="22"/>
        </w:rPr>
        <w:t xml:space="preserve"> </w:t>
      </w:r>
      <w:r>
        <w:rPr>
          <w:rFonts w:ascii="Times New Roman;Times;serif" w:hAnsi="Times New Roman;Times;serif"/>
          <w:sz w:val="22"/>
        </w:rPr>
        <w:t>it</w:t>
      </w:r>
      <w:r>
        <w:rPr>
          <w:rFonts w:ascii="Times New Roman;Times;serif" w:hAnsi="Times New Roman;Times;serif"/>
          <w:spacing w:val="-1"/>
          <w:sz w:val="22"/>
        </w:rPr>
        <w:t xml:space="preserve"> </w:t>
      </w:r>
      <w:r>
        <w:rPr>
          <w:rFonts w:ascii="Times New Roman;Times;serif" w:hAnsi="Times New Roman;Times;serif"/>
          <w:sz w:val="22"/>
        </w:rPr>
        <w:t>with the following:</w:t>
      </w:r>
    </w:p>
    <w:p>
      <w:pPr>
        <w:pStyle w:val="TextBody"/>
        <w:bidi w:val="0"/>
        <w:spacing w:before="240" w:after="0"/>
        <w:ind w:left="1800" w:right="356" w:hanging="0"/>
        <w:jc w:val="both"/>
        <w:rPr>
          <w:rFonts w:ascii="Times New Roman;Times;serif" w:hAnsi="Times New Roman;Times;serif"/>
          <w:sz w:val="22"/>
        </w:rPr>
      </w:pPr>
      <w:r>
        <w:rPr>
          <w:rFonts w:ascii="Times New Roman;Times;serif" w:hAnsi="Times New Roman;Times;serif"/>
          <w:sz w:val="22"/>
        </w:rPr>
        <w:t>Notwithstanding anything to the contrary contained in Section 6.4(a) and Section 6.4(b) above, the Borrowers may acquire a new Subsidiary in connection with a Potential Acquisition so long as all of the following conditions are satisfied on or before consummation</w:t>
      </w:r>
      <w:r>
        <w:rPr>
          <w:rFonts w:ascii="Times New Roman;Times;serif" w:hAnsi="Times New Roman;Times;serif"/>
          <w:spacing w:val="-12"/>
          <w:sz w:val="22"/>
        </w:rPr>
        <w:t xml:space="preserve"> </w:t>
      </w:r>
      <w:r>
        <w:rPr>
          <w:rFonts w:ascii="Times New Roman;Times;serif" w:hAnsi="Times New Roman;Times;serif"/>
          <w:sz w:val="22"/>
        </w:rPr>
        <w:t>of</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Potential</w:t>
      </w:r>
      <w:r>
        <w:rPr>
          <w:rFonts w:ascii="Times New Roman;Times;serif" w:hAnsi="Times New Roman;Times;serif"/>
          <w:spacing w:val="-11"/>
          <w:sz w:val="22"/>
        </w:rPr>
        <w:t xml:space="preserve"> </w:t>
      </w:r>
      <w:r>
        <w:rPr>
          <w:rFonts w:ascii="Times New Roman;Times;serif" w:hAnsi="Times New Roman;Times;serif"/>
          <w:sz w:val="22"/>
        </w:rPr>
        <w:t>Acquisition:</w:t>
      </w:r>
      <w:r>
        <w:rPr>
          <w:rFonts w:ascii="Times New Roman;Times;serif" w:hAnsi="Times New Roman;Times;serif"/>
          <w:spacing w:val="-11"/>
          <w:sz w:val="22"/>
        </w:rPr>
        <w:t xml:space="preserve"> </w:t>
      </w:r>
      <w:r>
        <w:rPr>
          <w:rFonts w:ascii="Times New Roman;Times;serif" w:hAnsi="Times New Roman;Times;serif"/>
          <w:sz w:val="22"/>
        </w:rPr>
        <w:t>(i)</w:t>
      </w:r>
      <w:r>
        <w:rPr>
          <w:rFonts w:ascii="Times New Roman;Times;serif" w:hAnsi="Times New Roman;Times;serif"/>
          <w:spacing w:val="-12"/>
          <w:sz w:val="22"/>
        </w:rPr>
        <w:t xml:space="preserve"> </w:t>
      </w:r>
      <w:r>
        <w:rPr>
          <w:rFonts w:ascii="Times New Roman;Times;serif" w:hAnsi="Times New Roman;Times;serif"/>
          <w:sz w:val="22"/>
        </w:rPr>
        <w:t>no</w:t>
      </w:r>
      <w:r>
        <w:rPr>
          <w:rFonts w:ascii="Times New Roman;Times;serif" w:hAnsi="Times New Roman;Times;serif"/>
          <w:spacing w:val="-12"/>
          <w:sz w:val="22"/>
        </w:rPr>
        <w:t xml:space="preserve"> </w:t>
      </w:r>
      <w:r>
        <w:rPr>
          <w:rFonts w:ascii="Times New Roman;Times;serif" w:hAnsi="Times New Roman;Times;serif"/>
          <w:sz w:val="22"/>
        </w:rPr>
        <w:t>Default</w:t>
      </w:r>
      <w:r>
        <w:rPr>
          <w:rFonts w:ascii="Times New Roman;Times;serif" w:hAnsi="Times New Roman;Times;serif"/>
          <w:spacing w:val="-11"/>
          <w:sz w:val="22"/>
        </w:rPr>
        <w:t xml:space="preserve"> </w:t>
      </w:r>
      <w:r>
        <w:rPr>
          <w:rFonts w:ascii="Times New Roman;Times;serif" w:hAnsi="Times New Roman;Times;serif"/>
          <w:sz w:val="22"/>
        </w:rPr>
        <w:t>or</w:t>
      </w:r>
      <w:r>
        <w:rPr>
          <w:rFonts w:ascii="Times New Roman;Times;serif" w:hAnsi="Times New Roman;Times;serif"/>
          <w:spacing w:val="-12"/>
          <w:sz w:val="22"/>
        </w:rPr>
        <w:t xml:space="preserve"> </w:t>
      </w:r>
      <w:r>
        <w:rPr>
          <w:rFonts w:ascii="Times New Roman;Times;serif" w:hAnsi="Times New Roman;Times;serif"/>
          <w:sz w:val="22"/>
        </w:rPr>
        <w:t>Event</w:t>
      </w:r>
      <w:r>
        <w:rPr>
          <w:rFonts w:ascii="Times New Roman;Times;serif" w:hAnsi="Times New Roman;Times;serif"/>
          <w:spacing w:val="-11"/>
          <w:sz w:val="22"/>
        </w:rPr>
        <w:t xml:space="preserve"> </w:t>
      </w:r>
      <w:r>
        <w:rPr>
          <w:rFonts w:ascii="Times New Roman;Times;serif" w:hAnsi="Times New Roman;Times;serif"/>
          <w:sz w:val="22"/>
        </w:rPr>
        <w:t>of</w:t>
      </w:r>
      <w:r>
        <w:rPr>
          <w:rFonts w:ascii="Times New Roman;Times;serif" w:hAnsi="Times New Roman;Times;serif"/>
          <w:spacing w:val="-12"/>
          <w:sz w:val="22"/>
        </w:rPr>
        <w:t xml:space="preserve"> </w:t>
      </w:r>
      <w:r>
        <w:rPr>
          <w:rFonts w:ascii="Times New Roman;Times;serif" w:hAnsi="Times New Roman;Times;serif"/>
          <w:sz w:val="22"/>
        </w:rPr>
        <w:t>Default</w:t>
      </w:r>
      <w:r>
        <w:rPr>
          <w:rFonts w:ascii="Times New Roman;Times;serif" w:hAnsi="Times New Roman;Times;serif"/>
          <w:spacing w:val="-11"/>
          <w:sz w:val="22"/>
        </w:rPr>
        <w:t xml:space="preserve"> </w:t>
      </w:r>
      <w:r>
        <w:rPr>
          <w:rFonts w:ascii="Times New Roman;Times;serif" w:hAnsi="Times New Roman;Times;serif"/>
          <w:sz w:val="22"/>
        </w:rPr>
        <w:t>has</w:t>
      </w:r>
      <w:r>
        <w:rPr>
          <w:rFonts w:ascii="Times New Roman;Times;serif" w:hAnsi="Times New Roman;Times;serif"/>
          <w:spacing w:val="-12"/>
          <w:sz w:val="22"/>
        </w:rPr>
        <w:t xml:space="preserve"> </w:t>
      </w:r>
      <w:r>
        <w:rPr>
          <w:rFonts w:ascii="Times New Roman;Times;serif" w:hAnsi="Times New Roman;Times;serif"/>
          <w:sz w:val="22"/>
        </w:rPr>
        <w:t>occurred (unless the same shall have been cured in accordance with the provisions set forth herein or expressly waived in writing by the Lender) or would result from the Potential Acquisition, (ii) in connection with a Potential Cash Acquisition, the Borrowers obtain Lender’s prior written consent if the acquisition price for the Potential Acquisition is greater than $5,000,000, (iii)</w:t>
      </w:r>
      <w:r>
        <w:rPr>
          <w:rFonts w:ascii="Times New Roman;Times;serif" w:hAnsi="Times New Roman;Times;serif"/>
          <w:spacing w:val="40"/>
          <w:sz w:val="22"/>
        </w:rPr>
        <w:t xml:space="preserve"> </w:t>
      </w:r>
      <w:r>
        <w:rPr>
          <w:rFonts w:ascii="Times New Roman;Times;serif" w:hAnsi="Times New Roman;Times;serif"/>
          <w:sz w:val="22"/>
        </w:rPr>
        <w:t>such Subsidiary, as determined by the Lender in its discretion, either (A) becomes a co-borrower under this Agreement and the other Loan Documents, or (B) becomes a guarantor of all of the Obligations and, in connection therewith, executes and delivers to the Lender such joinders, security agreements, financing</w:t>
      </w:r>
      <w:r>
        <w:rPr>
          <w:rFonts w:ascii="Times New Roman;Times;serif" w:hAnsi="Times New Roman;Times;serif"/>
          <w:spacing w:val="-1"/>
          <w:sz w:val="22"/>
        </w:rPr>
        <w:t xml:space="preserve"> </w:t>
      </w:r>
      <w:r>
        <w:rPr>
          <w:rFonts w:ascii="Times New Roman;Times;serif" w:hAnsi="Times New Roman;Times;serif"/>
          <w:sz w:val="22"/>
        </w:rPr>
        <w:t>statements,</w:t>
      </w:r>
      <w:r>
        <w:rPr>
          <w:rFonts w:ascii="Times New Roman;Times;serif" w:hAnsi="Times New Roman;Times;serif"/>
          <w:spacing w:val="-1"/>
          <w:sz w:val="22"/>
        </w:rPr>
        <w:t xml:space="preserve"> </w:t>
      </w:r>
      <w:r>
        <w:rPr>
          <w:rFonts w:ascii="Times New Roman;Times;serif" w:hAnsi="Times New Roman;Times;serif"/>
          <w:sz w:val="22"/>
        </w:rPr>
        <w:t>pledge</w:t>
      </w:r>
      <w:r>
        <w:rPr>
          <w:rFonts w:ascii="Times New Roman;Times;serif" w:hAnsi="Times New Roman;Times;serif"/>
          <w:spacing w:val="-1"/>
          <w:sz w:val="22"/>
        </w:rPr>
        <w:t xml:space="preserve"> </w:t>
      </w:r>
      <w:r>
        <w:rPr>
          <w:rFonts w:ascii="Times New Roman;Times;serif" w:hAnsi="Times New Roman;Times;serif"/>
          <w:sz w:val="22"/>
        </w:rPr>
        <w:t>agreements, guaranties,</w:t>
      </w:r>
      <w:r>
        <w:rPr>
          <w:rFonts w:ascii="Times New Roman;Times;serif" w:hAnsi="Times New Roman;Times;serif"/>
          <w:spacing w:val="-1"/>
          <w:sz w:val="22"/>
        </w:rPr>
        <w:t xml:space="preserve"> </w:t>
      </w:r>
      <w:r>
        <w:rPr>
          <w:rFonts w:ascii="Times New Roman;Times;serif" w:hAnsi="Times New Roman;Times;serif"/>
          <w:sz w:val="22"/>
        </w:rPr>
        <w:t>certificates, legal opinions</w:t>
      </w:r>
      <w:r>
        <w:rPr>
          <w:rFonts w:ascii="Times New Roman;Times;serif" w:hAnsi="Times New Roman;Times;serif"/>
          <w:spacing w:val="-2"/>
          <w:sz w:val="22"/>
        </w:rPr>
        <w:t xml:space="preserve"> </w:t>
      </w:r>
      <w:r>
        <w:rPr>
          <w:rFonts w:ascii="Times New Roman;Times;serif" w:hAnsi="Times New Roman;Times;serif"/>
          <w:sz w:val="22"/>
        </w:rPr>
        <w:t>and other Loan</w:t>
      </w:r>
      <w:r>
        <w:rPr>
          <w:rFonts w:ascii="Times New Roman;Times;serif" w:hAnsi="Times New Roman;Times;serif"/>
          <w:spacing w:val="-5"/>
          <w:sz w:val="22"/>
        </w:rPr>
        <w:t xml:space="preserve"> </w:t>
      </w:r>
      <w:r>
        <w:rPr>
          <w:rFonts w:ascii="Times New Roman;Times;serif" w:hAnsi="Times New Roman;Times;serif"/>
          <w:sz w:val="22"/>
        </w:rPr>
        <w:t>Documents</w:t>
      </w:r>
      <w:r>
        <w:rPr>
          <w:rFonts w:ascii="Times New Roman;Times;serif" w:hAnsi="Times New Roman;Times;serif"/>
          <w:spacing w:val="-5"/>
          <w:sz w:val="22"/>
        </w:rPr>
        <w:t xml:space="preserve"> </w:t>
      </w:r>
      <w:r>
        <w:rPr>
          <w:rFonts w:ascii="Times New Roman;Times;serif" w:hAnsi="Times New Roman;Times;serif"/>
          <w:sz w:val="22"/>
        </w:rPr>
        <w:t>as</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Lender</w:t>
      </w:r>
      <w:r>
        <w:rPr>
          <w:rFonts w:ascii="Times New Roman;Times;serif" w:hAnsi="Times New Roman;Times;serif"/>
          <w:spacing w:val="-5"/>
          <w:sz w:val="22"/>
        </w:rPr>
        <w:t xml:space="preserve"> </w:t>
      </w:r>
      <w:r>
        <w:rPr>
          <w:rFonts w:ascii="Times New Roman;Times;serif" w:hAnsi="Times New Roman;Times;serif"/>
          <w:sz w:val="22"/>
        </w:rPr>
        <w:t>may</w:t>
      </w:r>
      <w:r>
        <w:rPr>
          <w:rFonts w:ascii="Times New Roman;Times;serif" w:hAnsi="Times New Roman;Times;serif"/>
          <w:spacing w:val="-5"/>
          <w:sz w:val="22"/>
        </w:rPr>
        <w:t xml:space="preserve"> </w:t>
      </w:r>
      <w:r>
        <w:rPr>
          <w:rFonts w:ascii="Times New Roman;Times;serif" w:hAnsi="Times New Roman;Times;serif"/>
          <w:sz w:val="22"/>
        </w:rPr>
        <w:t>request</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reflect</w:t>
      </w:r>
      <w:r>
        <w:rPr>
          <w:rFonts w:ascii="Times New Roman;Times;serif" w:hAnsi="Times New Roman;Times;serif"/>
          <w:spacing w:val="-3"/>
          <w:sz w:val="22"/>
        </w:rPr>
        <w:t xml:space="preserve"> </w:t>
      </w:r>
      <w:r>
        <w:rPr>
          <w:rFonts w:ascii="Times New Roman;Times;serif" w:hAnsi="Times New Roman;Times;serif"/>
          <w:sz w:val="22"/>
        </w:rPr>
        <w:t>its</w:t>
      </w:r>
      <w:r>
        <w:rPr>
          <w:rFonts w:ascii="Times New Roman;Times;serif" w:hAnsi="Times New Roman;Times;serif"/>
          <w:spacing w:val="-5"/>
          <w:sz w:val="22"/>
        </w:rPr>
        <w:t xml:space="preserve"> </w:t>
      </w:r>
      <w:r>
        <w:rPr>
          <w:rFonts w:ascii="Times New Roman;Times;serif" w:hAnsi="Times New Roman;Times;serif"/>
          <w:sz w:val="22"/>
        </w:rPr>
        <w:t>status</w:t>
      </w:r>
      <w:r>
        <w:rPr>
          <w:rFonts w:ascii="Times New Roman;Times;serif" w:hAnsi="Times New Roman;Times;serif"/>
          <w:spacing w:val="-5"/>
          <w:sz w:val="22"/>
        </w:rPr>
        <w:t xml:space="preserve"> </w:t>
      </w:r>
      <w:r>
        <w:rPr>
          <w:rFonts w:ascii="Times New Roman;Times;serif" w:hAnsi="Times New Roman;Times;serif"/>
          <w:sz w:val="22"/>
        </w:rPr>
        <w:t>as</w:t>
      </w:r>
      <w:r>
        <w:rPr>
          <w:rFonts w:ascii="Times New Roman;Times;serif" w:hAnsi="Times New Roman;Times;serif"/>
          <w:spacing w:val="-5"/>
          <w:sz w:val="22"/>
        </w:rPr>
        <w:t xml:space="preserve"> </w:t>
      </w:r>
      <w:r>
        <w:rPr>
          <w:rFonts w:ascii="Times New Roman;Times;serif" w:hAnsi="Times New Roman;Times;serif"/>
          <w:sz w:val="22"/>
        </w:rPr>
        <w:t>a</w:t>
      </w:r>
      <w:r>
        <w:rPr>
          <w:rFonts w:ascii="Times New Roman;Times;serif" w:hAnsi="Times New Roman;Times;serif"/>
          <w:spacing w:val="-4"/>
          <w:sz w:val="22"/>
        </w:rPr>
        <w:t xml:space="preserve"> </w:t>
      </w:r>
      <w:r>
        <w:rPr>
          <w:rFonts w:ascii="Times New Roman;Times;serif" w:hAnsi="Times New Roman;Times;serif"/>
          <w:sz w:val="22"/>
        </w:rPr>
        <w:t>new</w:t>
      </w:r>
      <w:r>
        <w:rPr>
          <w:rFonts w:ascii="Times New Roman;Times;serif" w:hAnsi="Times New Roman;Times;serif"/>
          <w:spacing w:val="-5"/>
          <w:sz w:val="22"/>
        </w:rPr>
        <w:t xml:space="preserve"> </w:t>
      </w:r>
      <w:r>
        <w:rPr>
          <w:rFonts w:ascii="Times New Roman;Times;serif" w:hAnsi="Times New Roman;Times;serif"/>
          <w:sz w:val="22"/>
        </w:rPr>
        <w:t>credit</w:t>
      </w:r>
      <w:r>
        <w:rPr>
          <w:rFonts w:ascii="Times New Roman;Times;serif" w:hAnsi="Times New Roman;Times;serif"/>
          <w:spacing w:val="-5"/>
          <w:sz w:val="22"/>
        </w:rPr>
        <w:t xml:space="preserve"> </w:t>
      </w:r>
      <w:r>
        <w:rPr>
          <w:rFonts w:ascii="Times New Roman;Times;serif" w:hAnsi="Times New Roman;Times;serif"/>
          <w:sz w:val="22"/>
        </w:rPr>
        <w:t>party</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the transactions contemplated hereby, and to evidence the Lender’s Lien on the Collateral (including</w:t>
      </w:r>
      <w:r>
        <w:rPr>
          <w:rFonts w:ascii="Times New Roman;Times;serif" w:hAnsi="Times New Roman;Times;serif"/>
          <w:spacing w:val="-12"/>
          <w:sz w:val="22"/>
        </w:rPr>
        <w:t xml:space="preserve"> </w:t>
      </w:r>
      <w:r>
        <w:rPr>
          <w:rFonts w:ascii="Times New Roman;Times;serif" w:hAnsi="Times New Roman;Times;serif"/>
          <w:sz w:val="22"/>
        </w:rPr>
        <w:t>any</w:t>
      </w:r>
      <w:r>
        <w:rPr>
          <w:rFonts w:ascii="Times New Roman;Times;serif" w:hAnsi="Times New Roman;Times;serif"/>
          <w:spacing w:val="-12"/>
          <w:sz w:val="22"/>
        </w:rPr>
        <w:t xml:space="preserve"> </w:t>
      </w:r>
      <w:r>
        <w:rPr>
          <w:rFonts w:ascii="Times New Roman;Times;serif" w:hAnsi="Times New Roman;Times;serif"/>
          <w:sz w:val="22"/>
        </w:rPr>
        <w:t>Collateral</w:t>
      </w:r>
      <w:r>
        <w:rPr>
          <w:rFonts w:ascii="Times New Roman;Times;serif" w:hAnsi="Times New Roman;Times;serif"/>
          <w:spacing w:val="-12"/>
          <w:sz w:val="22"/>
        </w:rPr>
        <w:t xml:space="preserve"> </w:t>
      </w:r>
      <w:r>
        <w:rPr>
          <w:rFonts w:ascii="Times New Roman;Times;serif" w:hAnsi="Times New Roman;Times;serif"/>
          <w:sz w:val="22"/>
        </w:rPr>
        <w:t>acquired</w:t>
      </w:r>
      <w:r>
        <w:rPr>
          <w:rFonts w:ascii="Times New Roman;Times;serif" w:hAnsi="Times New Roman;Times;serif"/>
          <w:spacing w:val="-12"/>
          <w:sz w:val="22"/>
        </w:rPr>
        <w:t xml:space="preserve"> </w:t>
      </w:r>
      <w:r>
        <w:rPr>
          <w:rFonts w:ascii="Times New Roman;Times;serif" w:hAnsi="Times New Roman;Times;serif"/>
          <w:sz w:val="22"/>
        </w:rPr>
        <w:t>pursuant</w:t>
      </w:r>
      <w:r>
        <w:rPr>
          <w:rFonts w:ascii="Times New Roman;Times;serif" w:hAnsi="Times New Roman;Times;serif"/>
          <w:spacing w:val="-12"/>
          <w:sz w:val="22"/>
        </w:rPr>
        <w:t xml:space="preserve"> </w:t>
      </w:r>
      <w:r>
        <w:rPr>
          <w:rFonts w:ascii="Times New Roman;Times;serif" w:hAnsi="Times New Roman;Times;serif"/>
          <w:sz w:val="22"/>
        </w:rPr>
        <w:t>to</w:t>
      </w:r>
      <w:r>
        <w:rPr>
          <w:rFonts w:ascii="Times New Roman;Times;serif" w:hAnsi="Times New Roman;Times;serif"/>
          <w:spacing w:val="-13"/>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Potential</w:t>
      </w:r>
      <w:r>
        <w:rPr>
          <w:rFonts w:ascii="Times New Roman;Times;serif" w:hAnsi="Times New Roman;Times;serif"/>
          <w:spacing w:val="-12"/>
          <w:sz w:val="22"/>
        </w:rPr>
        <w:t xml:space="preserve"> </w:t>
      </w:r>
      <w:r>
        <w:rPr>
          <w:rFonts w:ascii="Times New Roman;Times;serif" w:hAnsi="Times New Roman;Times;serif"/>
          <w:sz w:val="22"/>
        </w:rPr>
        <w:t>Acquisition)</w:t>
      </w:r>
      <w:r>
        <w:rPr>
          <w:rFonts w:ascii="Times New Roman;Times;serif" w:hAnsi="Times New Roman;Times;serif"/>
          <w:spacing w:val="-12"/>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perfection and</w:t>
      </w:r>
      <w:r>
        <w:rPr>
          <w:rFonts w:ascii="Times New Roman;Times;serif" w:hAnsi="Times New Roman;Times;serif"/>
          <w:spacing w:val="-4"/>
          <w:sz w:val="22"/>
        </w:rPr>
        <w:t xml:space="preserve"> </w:t>
      </w:r>
      <w:r>
        <w:rPr>
          <w:rFonts w:ascii="Times New Roman;Times;serif" w:hAnsi="Times New Roman;Times;serif"/>
          <w:sz w:val="22"/>
        </w:rPr>
        <w:t>priority</w:t>
      </w:r>
      <w:r>
        <w:rPr>
          <w:rFonts w:ascii="Times New Roman;Times;serif" w:hAnsi="Times New Roman;Times;serif"/>
          <w:spacing w:val="-4"/>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Lender’s</w:t>
      </w:r>
      <w:r>
        <w:rPr>
          <w:rFonts w:ascii="Times New Roman;Times;serif" w:hAnsi="Times New Roman;Times;serif"/>
          <w:spacing w:val="-5"/>
          <w:sz w:val="22"/>
        </w:rPr>
        <w:t xml:space="preserve"> </w:t>
      </w:r>
      <w:r>
        <w:rPr>
          <w:rFonts w:ascii="Times New Roman;Times;serif" w:hAnsi="Times New Roman;Times;serif"/>
          <w:sz w:val="22"/>
        </w:rPr>
        <w:t>Security</w:t>
      </w:r>
      <w:r>
        <w:rPr>
          <w:rFonts w:ascii="Times New Roman;Times;serif" w:hAnsi="Times New Roman;Times;serif"/>
          <w:spacing w:val="-4"/>
          <w:sz w:val="22"/>
        </w:rPr>
        <w:t xml:space="preserve"> </w:t>
      </w:r>
      <w:r>
        <w:rPr>
          <w:rFonts w:ascii="Times New Roman;Times;serif" w:hAnsi="Times New Roman;Times;serif"/>
          <w:sz w:val="22"/>
        </w:rPr>
        <w:t>Interest</w:t>
      </w:r>
      <w:r>
        <w:rPr>
          <w:rFonts w:ascii="Times New Roman;Times;serif" w:hAnsi="Times New Roman;Times;serif"/>
          <w:spacing w:val="-1"/>
          <w:sz w:val="22"/>
        </w:rPr>
        <w:t xml:space="preserve"> </w:t>
      </w:r>
      <w:r>
        <w:rPr>
          <w:rFonts w:ascii="Times New Roman;Times;serif" w:hAnsi="Times New Roman;Times;serif"/>
          <w:sz w:val="22"/>
        </w:rPr>
        <w:t>in</w:t>
      </w:r>
      <w:r>
        <w:rPr>
          <w:rFonts w:ascii="Times New Roman;Times;serif" w:hAnsi="Times New Roman;Times;serif"/>
          <w:spacing w:val="-4"/>
          <w:sz w:val="22"/>
        </w:rPr>
        <w:t xml:space="preserve"> </w:t>
      </w:r>
      <w:r>
        <w:rPr>
          <w:rFonts w:ascii="Times New Roman;Times;serif" w:hAnsi="Times New Roman;Times;serif"/>
          <w:sz w:val="22"/>
        </w:rPr>
        <w:t>accordance</w:t>
      </w:r>
      <w:r>
        <w:rPr>
          <w:rFonts w:ascii="Times New Roman;Times;serif" w:hAnsi="Times New Roman;Times;serif"/>
          <w:spacing w:val="-4"/>
          <w:sz w:val="22"/>
        </w:rPr>
        <w:t xml:space="preserve"> </w:t>
      </w:r>
      <w:r>
        <w:rPr>
          <w:rFonts w:ascii="Times New Roman;Times;serif" w:hAnsi="Times New Roman;Times;serif"/>
          <w:sz w:val="22"/>
        </w:rPr>
        <w:t>with</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terms</w:t>
      </w:r>
      <w:r>
        <w:rPr>
          <w:rFonts w:ascii="Times New Roman;Times;serif" w:hAnsi="Times New Roman;Times;serif"/>
          <w:spacing w:val="-4"/>
          <w:sz w:val="22"/>
        </w:rPr>
        <w:t xml:space="preserve"> </w:t>
      </w:r>
      <w:r>
        <w:rPr>
          <w:rFonts w:ascii="Times New Roman;Times;serif" w:hAnsi="Times New Roman;Times;serif"/>
          <w:sz w:val="22"/>
        </w:rPr>
        <w:t>hereof,</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(iv) provides</w:t>
      </w:r>
      <w:r>
        <w:rPr>
          <w:rFonts w:ascii="Times New Roman;Times;serif" w:hAnsi="Times New Roman;Times;serif"/>
          <w:spacing w:val="-2"/>
          <w:sz w:val="22"/>
        </w:rPr>
        <w:t xml:space="preserve"> </w:t>
      </w:r>
      <w:r>
        <w:rPr>
          <w:rFonts w:ascii="Times New Roman;Times;serif" w:hAnsi="Times New Roman;Times;serif"/>
          <w:sz w:val="22"/>
        </w:rPr>
        <w:t>additional</w:t>
      </w:r>
      <w:r>
        <w:rPr>
          <w:rFonts w:ascii="Times New Roman;Times;serif" w:hAnsi="Times New Roman;Times;serif"/>
          <w:spacing w:val="-2"/>
          <w:sz w:val="22"/>
        </w:rPr>
        <w:t xml:space="preserve"> </w:t>
      </w:r>
      <w:r>
        <w:rPr>
          <w:rFonts w:ascii="Times New Roman;Times;serif" w:hAnsi="Times New Roman;Times;serif"/>
          <w:sz w:val="22"/>
        </w:rPr>
        <w:t>information</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documentation</w:t>
      </w:r>
      <w:r>
        <w:rPr>
          <w:rFonts w:ascii="Times New Roman;Times;serif" w:hAnsi="Times New Roman;Times;serif"/>
          <w:spacing w:val="-2"/>
          <w:sz w:val="22"/>
        </w:rPr>
        <w:t xml:space="preserve"> </w:t>
      </w:r>
      <w:r>
        <w:rPr>
          <w:rFonts w:ascii="Times New Roman;Times;serif" w:hAnsi="Times New Roman;Times;serif"/>
          <w:sz w:val="22"/>
        </w:rPr>
        <w:t>regarding</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Potential</w:t>
      </w:r>
      <w:r>
        <w:rPr>
          <w:rFonts w:ascii="Times New Roman;Times;serif" w:hAnsi="Times New Roman;Times;serif"/>
          <w:spacing w:val="-2"/>
          <w:sz w:val="22"/>
        </w:rPr>
        <w:t xml:space="preserve"> </w:t>
      </w:r>
      <w:r>
        <w:rPr>
          <w:rFonts w:ascii="Times New Roman;Times;serif" w:hAnsi="Times New Roman;Times;serif"/>
          <w:sz w:val="22"/>
        </w:rPr>
        <w:t>Acquisition</w:t>
      </w:r>
      <w:r>
        <w:rPr>
          <w:rFonts w:ascii="Times New Roman;Times;serif" w:hAnsi="Times New Roman;Times;serif"/>
          <w:spacing w:val="-2"/>
          <w:sz w:val="22"/>
        </w:rPr>
        <w:t xml:space="preserve"> </w:t>
      </w:r>
      <w:r>
        <w:rPr>
          <w:rFonts w:ascii="Times New Roman;Times;serif" w:hAnsi="Times New Roman;Times;serif"/>
          <w:sz w:val="22"/>
        </w:rPr>
        <w:t>as may</w:t>
      </w:r>
      <w:r>
        <w:rPr>
          <w:rFonts w:ascii="Times New Roman;Times;serif" w:hAnsi="Times New Roman;Times;serif"/>
          <w:spacing w:val="-6"/>
          <w:sz w:val="22"/>
        </w:rPr>
        <w:t xml:space="preserve"> </w:t>
      </w:r>
      <w:r>
        <w:rPr>
          <w:rFonts w:ascii="Times New Roman;Times;serif" w:hAnsi="Times New Roman;Times;serif"/>
          <w:sz w:val="22"/>
        </w:rPr>
        <w:t>be</w:t>
      </w:r>
      <w:r>
        <w:rPr>
          <w:rFonts w:ascii="Times New Roman;Times;serif" w:hAnsi="Times New Roman;Times;serif"/>
          <w:spacing w:val="-6"/>
          <w:sz w:val="22"/>
        </w:rPr>
        <w:t xml:space="preserve"> </w:t>
      </w:r>
      <w:r>
        <w:rPr>
          <w:rFonts w:ascii="Times New Roman;Times;serif" w:hAnsi="Times New Roman;Times;serif"/>
          <w:sz w:val="22"/>
        </w:rPr>
        <w:t>reasonably</w:t>
      </w:r>
      <w:r>
        <w:rPr>
          <w:rFonts w:ascii="Times New Roman;Times;serif" w:hAnsi="Times New Roman;Times;serif"/>
          <w:spacing w:val="-6"/>
          <w:sz w:val="22"/>
        </w:rPr>
        <w:t xml:space="preserve"> </w:t>
      </w:r>
      <w:r>
        <w:rPr>
          <w:rFonts w:ascii="Times New Roman;Times;serif" w:hAnsi="Times New Roman;Times;serif"/>
          <w:sz w:val="22"/>
        </w:rPr>
        <w:t>requested</w:t>
      </w:r>
      <w:r>
        <w:rPr>
          <w:rFonts w:ascii="Times New Roman;Times;serif" w:hAnsi="Times New Roman;Times;serif"/>
          <w:spacing w:val="-6"/>
          <w:sz w:val="22"/>
        </w:rPr>
        <w:t xml:space="preserve"> </w:t>
      </w:r>
      <w:r>
        <w:rPr>
          <w:rFonts w:ascii="Times New Roman;Times;serif" w:hAnsi="Times New Roman;Times;serif"/>
          <w:sz w:val="22"/>
        </w:rPr>
        <w:t>by</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Lender</w:t>
      </w:r>
      <w:r>
        <w:rPr>
          <w:rFonts w:ascii="Times New Roman;Times;serif" w:hAnsi="Times New Roman;Times;serif"/>
          <w:spacing w:val="-6"/>
          <w:sz w:val="22"/>
        </w:rPr>
        <w:t xml:space="preserve"> </w:t>
      </w:r>
      <w:r>
        <w:rPr>
          <w:rFonts w:ascii="Times New Roman;Times;serif" w:hAnsi="Times New Roman;Times;serif"/>
          <w:sz w:val="22"/>
        </w:rPr>
        <w:t>at</w:t>
      </w:r>
      <w:r>
        <w:rPr>
          <w:rFonts w:ascii="Times New Roman;Times;serif" w:hAnsi="Times New Roman;Times;serif"/>
          <w:spacing w:val="-6"/>
          <w:sz w:val="22"/>
        </w:rPr>
        <w:t xml:space="preserve"> </w:t>
      </w:r>
      <w:r>
        <w:rPr>
          <w:rFonts w:ascii="Times New Roman;Times;serif" w:hAnsi="Times New Roman;Times;serif"/>
          <w:sz w:val="22"/>
        </w:rPr>
        <w:t>least</w:t>
      </w:r>
      <w:r>
        <w:rPr>
          <w:rFonts w:ascii="Times New Roman;Times;serif" w:hAnsi="Times New Roman;Times;serif"/>
          <w:spacing w:val="-6"/>
          <w:sz w:val="22"/>
        </w:rPr>
        <w:t xml:space="preserve"> </w:t>
      </w:r>
      <w:r>
        <w:rPr>
          <w:rFonts w:ascii="Times New Roman;Times;serif" w:hAnsi="Times New Roman;Times;serif"/>
          <w:sz w:val="22"/>
        </w:rPr>
        <w:t>thirty</w:t>
      </w:r>
      <w:r>
        <w:rPr>
          <w:rFonts w:ascii="Times New Roman;Times;serif" w:hAnsi="Times New Roman;Times;serif"/>
          <w:spacing w:val="-6"/>
          <w:sz w:val="22"/>
        </w:rPr>
        <w:t xml:space="preserve"> </w:t>
      </w:r>
      <w:r>
        <w:rPr>
          <w:rFonts w:ascii="Times New Roman;Times;serif" w:hAnsi="Times New Roman;Times;serif"/>
          <w:sz w:val="22"/>
        </w:rPr>
        <w:t>(30)</w:t>
      </w:r>
      <w:r>
        <w:rPr>
          <w:rFonts w:ascii="Times New Roman;Times;serif" w:hAnsi="Times New Roman;Times;serif"/>
          <w:spacing w:val="-6"/>
          <w:sz w:val="22"/>
        </w:rPr>
        <w:t xml:space="preserve"> </w:t>
      </w:r>
      <w:r>
        <w:rPr>
          <w:rFonts w:ascii="Times New Roman;Times;serif" w:hAnsi="Times New Roman;Times;serif"/>
          <w:sz w:val="22"/>
        </w:rPr>
        <w:t>days</w:t>
      </w:r>
      <w:r>
        <w:rPr>
          <w:rFonts w:ascii="Times New Roman;Times;serif" w:hAnsi="Times New Roman;Times;serif"/>
          <w:spacing w:val="-7"/>
          <w:sz w:val="22"/>
        </w:rPr>
        <w:t xml:space="preserve"> </w:t>
      </w:r>
      <w:r>
        <w:rPr>
          <w:rFonts w:ascii="Times New Roman;Times;serif" w:hAnsi="Times New Roman;Times;serif"/>
          <w:sz w:val="22"/>
        </w:rPr>
        <w:t>prior</w:t>
      </w:r>
      <w:r>
        <w:rPr>
          <w:rFonts w:ascii="Times New Roman;Times;serif" w:hAnsi="Times New Roman;Times;serif"/>
          <w:spacing w:val="-6"/>
          <w:sz w:val="22"/>
        </w:rPr>
        <w:t xml:space="preserve"> </w:t>
      </w:r>
      <w:r>
        <w:rPr>
          <w:rFonts w:ascii="Times New Roman;Times;serif" w:hAnsi="Times New Roman;Times;serif"/>
          <w:sz w:val="22"/>
        </w:rPr>
        <w:t>to</w:t>
      </w:r>
      <w:r>
        <w:rPr>
          <w:rFonts w:ascii="Times New Roman;Times;serif" w:hAnsi="Times New Roman;Times;serif"/>
          <w:spacing w:val="-6"/>
          <w:sz w:val="22"/>
        </w:rPr>
        <w:t xml:space="preserve"> </w:t>
      </w:r>
      <w:r>
        <w:rPr>
          <w:rFonts w:ascii="Times New Roman;Times;serif" w:hAnsi="Times New Roman;Times;serif"/>
          <w:sz w:val="22"/>
        </w:rPr>
        <w:t>consummation of the Potential Acquisition.</w:t>
      </w:r>
    </w:p>
    <w:tbl>
      <w:tblPr>
        <w:tblW w:w="10205" w:type="dxa"/>
        <w:jc w:val="left"/>
        <w:tblInd w:w="0" w:type="dxa"/>
        <w:tblLayout w:type="fixed"/>
        <w:tblCellMar>
          <w:top w:w="0" w:type="dxa"/>
          <w:left w:w="0" w:type="dxa"/>
          <w:bottom w:w="0" w:type="dxa"/>
          <w:right w:w="0" w:type="dxa"/>
        </w:tblCellMar>
      </w:tblPr>
      <w:tblGrid>
        <w:gridCol w:w="23"/>
        <w:gridCol w:w="170"/>
        <w:gridCol w:w="998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99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Conditions Precedent.</w:t>
            </w:r>
            <w:r>
              <w:rPr>
                <w:caps w:val="false"/>
                <w:smallCaps w:val="false"/>
              </w:rPr>
              <w:t xml:space="preserve"> </w:t>
            </w:r>
            <w:r>
              <w:rPr>
                <w:rFonts w:ascii="Times New Roman;Times;serif" w:hAnsi="Times New Roman;Times;serif"/>
                <w:b w:val="false"/>
                <w:i w:val="false"/>
                <w:caps w:val="false"/>
                <w:smallCaps w:val="false"/>
                <w:sz w:val="22"/>
              </w:rPr>
              <w:t>This Amendment shall be effective when this Amendment has been fully executed</w:t>
            </w:r>
            <w:r>
              <w:rPr>
                <w:caps w:val="false"/>
                <w:smallCaps w:val="false"/>
                <w:spacing w:val="-10"/>
              </w:rPr>
              <w:t xml:space="preserve"> </w:t>
            </w:r>
            <w:r>
              <w:rPr>
                <w:rFonts w:ascii="Times New Roman;Times;serif" w:hAnsi="Times New Roman;Times;serif"/>
                <w:b w:val="false"/>
                <w:i w:val="false"/>
                <w:caps w:val="false"/>
                <w:smallCaps w:val="false"/>
                <w:sz w:val="22"/>
              </w:rPr>
              <w:t>and</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0"/>
              </w:rPr>
              <w:t xml:space="preserve"> </w:t>
            </w:r>
            <w:r>
              <w:rPr>
                <w:rFonts w:ascii="Times New Roman;Times;serif" w:hAnsi="Times New Roman;Times;serif"/>
                <w:b w:val="false"/>
                <w:i w:val="false"/>
                <w:caps w:val="false"/>
                <w:smallCaps w:val="false"/>
                <w:sz w:val="22"/>
              </w:rPr>
              <w:t>following</w:t>
            </w:r>
            <w:r>
              <w:rPr>
                <w:caps w:val="false"/>
                <w:smallCaps w:val="false"/>
                <w:spacing w:val="-12"/>
              </w:rPr>
              <w:t xml:space="preserve"> </w:t>
            </w:r>
            <w:r>
              <w:rPr>
                <w:rFonts w:ascii="Times New Roman;Times;serif" w:hAnsi="Times New Roman;Times;serif"/>
                <w:b w:val="false"/>
                <w:i w:val="false"/>
                <w:caps w:val="false"/>
                <w:smallCaps w:val="false"/>
                <w:sz w:val="22"/>
              </w:rPr>
              <w:t>conditions</w:t>
            </w:r>
            <w:r>
              <w:rPr>
                <w:caps w:val="false"/>
                <w:smallCaps w:val="false"/>
                <w:spacing w:val="-10"/>
              </w:rPr>
              <w:t xml:space="preserve"> </w:t>
            </w:r>
            <w:r>
              <w:rPr>
                <w:rFonts w:ascii="Times New Roman;Times;serif" w:hAnsi="Times New Roman;Times;serif"/>
                <w:b w:val="false"/>
                <w:i w:val="false"/>
                <w:caps w:val="false"/>
                <w:smallCaps w:val="false"/>
                <w:sz w:val="22"/>
              </w:rPr>
              <w:t>precedent</w:t>
            </w:r>
            <w:r>
              <w:rPr>
                <w:caps w:val="false"/>
                <w:smallCaps w:val="false"/>
                <w:spacing w:val="-10"/>
              </w:rPr>
              <w:t xml:space="preserve"> </w:t>
            </w:r>
            <w:r>
              <w:rPr>
                <w:rFonts w:ascii="Times New Roman;Times;serif" w:hAnsi="Times New Roman;Times;serif"/>
                <w:b w:val="false"/>
                <w:i w:val="false"/>
                <w:caps w:val="false"/>
                <w:smallCaps w:val="false"/>
                <w:sz w:val="22"/>
              </w:rPr>
              <w:t>are</w:t>
            </w:r>
            <w:r>
              <w:rPr>
                <w:caps w:val="false"/>
                <w:smallCaps w:val="false"/>
                <w:spacing w:val="-11"/>
              </w:rPr>
              <w:t xml:space="preserve"> </w:t>
            </w:r>
            <w:r>
              <w:rPr>
                <w:rFonts w:ascii="Times New Roman;Times;serif" w:hAnsi="Times New Roman;Times;serif"/>
                <w:b w:val="false"/>
                <w:i w:val="false"/>
                <w:caps w:val="false"/>
                <w:smallCaps w:val="false"/>
                <w:sz w:val="22"/>
              </w:rPr>
              <w:t>satisfied</w:t>
            </w:r>
            <w:r>
              <w:rPr>
                <w:caps w:val="false"/>
                <w:smallCaps w:val="false"/>
                <w:spacing w:val="-10"/>
              </w:rPr>
              <w:t xml:space="preserve"> </w:t>
            </w:r>
            <w:r>
              <w:rPr>
                <w:rFonts w:ascii="Times New Roman;Times;serif" w:hAnsi="Times New Roman;Times;serif"/>
                <w:b w:val="false"/>
                <w:i w:val="false"/>
                <w:caps w:val="false"/>
                <w:smallCaps w:val="false"/>
                <w:sz w:val="22"/>
              </w:rPr>
              <w:t>in</w:t>
            </w:r>
            <w:r>
              <w:rPr>
                <w:caps w:val="false"/>
                <w:smallCaps w:val="false"/>
                <w:spacing w:val="-10"/>
              </w:rPr>
              <w:t xml:space="preserve"> </w:t>
            </w:r>
            <w:r>
              <w:rPr>
                <w:rFonts w:ascii="Times New Roman;Times;serif" w:hAnsi="Times New Roman;Times;serif"/>
                <w:b w:val="false"/>
                <w:i w:val="false"/>
                <w:caps w:val="false"/>
                <w:smallCaps w:val="false"/>
                <w:sz w:val="22"/>
              </w:rPr>
              <w:t>a</w:t>
            </w:r>
            <w:r>
              <w:rPr>
                <w:caps w:val="false"/>
                <w:smallCaps w:val="false"/>
                <w:spacing w:val="-12"/>
              </w:rPr>
              <w:t xml:space="preserve"> </w:t>
            </w:r>
            <w:r>
              <w:rPr>
                <w:rFonts w:ascii="Times New Roman;Times;serif" w:hAnsi="Times New Roman;Times;serif"/>
                <w:b w:val="false"/>
                <w:i w:val="false"/>
                <w:caps w:val="false"/>
                <w:smallCaps w:val="false"/>
                <w:sz w:val="22"/>
              </w:rPr>
              <w:t>manner</w:t>
            </w:r>
            <w:r>
              <w:rPr>
                <w:caps w:val="false"/>
                <w:smallCaps w:val="false"/>
                <w:spacing w:val="-10"/>
              </w:rPr>
              <w:t xml:space="preserve"> </w:t>
            </w:r>
            <w:r>
              <w:rPr>
                <w:rFonts w:ascii="Times New Roman;Times;serif" w:hAnsi="Times New Roman;Times;serif"/>
                <w:b w:val="false"/>
                <w:i w:val="false"/>
                <w:caps w:val="false"/>
                <w:smallCaps w:val="false"/>
                <w:sz w:val="22"/>
              </w:rPr>
              <w:t>acceptable</w:t>
            </w:r>
            <w:r>
              <w:rPr>
                <w:caps w:val="false"/>
                <w:smallCaps w:val="false"/>
                <w:spacing w:val="-10"/>
              </w:rPr>
              <w:t xml:space="preserve"> </w:t>
            </w:r>
            <w:r>
              <w:rPr>
                <w:rFonts w:ascii="Times New Roman;Times;serif" w:hAnsi="Times New Roman;Times;serif"/>
                <w:b w:val="false"/>
                <w:i w:val="false"/>
                <w:caps w:val="false"/>
                <w:smallCaps w:val="false"/>
                <w:sz w:val="22"/>
              </w:rPr>
              <w:t>to</w:t>
            </w:r>
            <w:r>
              <w:rPr>
                <w:caps w:val="false"/>
                <w:smallCaps w:val="false"/>
                <w:spacing w:val="-10"/>
              </w:rPr>
              <w:t xml:space="preserve"> </w:t>
            </w:r>
            <w:r>
              <w:rPr>
                <w:rFonts w:ascii="Times New Roman;Times;serif" w:hAnsi="Times New Roman;Times;serif"/>
                <w:b w:val="false"/>
                <w:i w:val="false"/>
                <w:caps w:val="false"/>
                <w:smallCaps w:val="false"/>
                <w:sz w:val="22"/>
              </w:rPr>
              <w:t>the</w:t>
            </w:r>
            <w:r>
              <w:rPr>
                <w:caps w:val="false"/>
                <w:smallCaps w:val="false"/>
                <w:spacing w:val="-10"/>
              </w:rPr>
              <w:t xml:space="preserve"> </w:t>
            </w:r>
            <w:r>
              <w:rPr>
                <w:rFonts w:ascii="Times New Roman;Times;serif" w:hAnsi="Times New Roman;Times;serif"/>
                <w:b w:val="false"/>
                <w:i w:val="false"/>
                <w:caps w:val="false"/>
                <w:smallCaps w:val="false"/>
                <w:sz w:val="22"/>
              </w:rPr>
              <w:t>Lender: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080" w:right="357" w:hanging="0"/>
        <w:jc w:val="both"/>
        <w:rPr>
          <w:rFonts w:ascii="Times New Roman;Times;serif" w:hAnsi="Times New Roman;Times;serif"/>
          <w:sz w:val="22"/>
        </w:rPr>
      </w:pPr>
      <w:r>
        <w:rPr>
          <w:rFonts w:ascii="Times New Roman;Times;serif" w:hAnsi="Times New Roman;Times;serif"/>
          <w:sz w:val="22"/>
        </w:rPr>
        <w:t xml:space="preserve">(a)Receipt by the Lender of duly executed counterparts of this Amendment by all parties </w:t>
      </w:r>
      <w:r>
        <w:rPr>
          <w:rFonts w:ascii="Times New Roman;Times;serif" w:hAnsi="Times New Roman;Times;serif"/>
          <w:spacing w:val="-2"/>
          <w:sz w:val="22"/>
        </w:rPr>
        <w:t>hereto.</w:t>
      </w:r>
    </w:p>
    <w:tbl>
      <w:tblPr>
        <w:tblW w:w="10205" w:type="dxa"/>
        <w:jc w:val="left"/>
        <w:tblInd w:w="0" w:type="dxa"/>
        <w:tblLayout w:type="fixed"/>
        <w:tblCellMar>
          <w:top w:w="0" w:type="dxa"/>
          <w:left w:w="0" w:type="dxa"/>
          <w:bottom w:w="0" w:type="dxa"/>
          <w:right w:w="0" w:type="dxa"/>
        </w:tblCellMar>
      </w:tblPr>
      <w:tblGrid>
        <w:gridCol w:w="23"/>
        <w:gridCol w:w="241"/>
        <w:gridCol w:w="991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Payment to the Lender of all costs and expenses, attorneys’ fees and filing fees paid or incurred by the Lender in connection with the preparation of this Amendment and the documents related hereto and the closing and consummation of the transaction contemplated hereby.</w:t>
            </w:r>
          </w:p>
        </w:tc>
        <w:tc>
          <w:tcPr>
            <w:tcW w:w="24"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0" w:type="dxa"/>
          <w:left w:w="0" w:type="dxa"/>
          <w:bottom w:w="0" w:type="dxa"/>
          <w:right w:w="0" w:type="dxa"/>
        </w:tblCellMar>
      </w:tblPr>
      <w:tblGrid>
        <w:gridCol w:w="23"/>
        <w:gridCol w:w="275"/>
        <w:gridCol w:w="3694"/>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36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Receipt</w:t>
            </w:r>
            <w:r>
              <w:rPr>
                <w:caps w:val="false"/>
                <w:smallCaps w:val="false"/>
                <w:spacing w:val="-4"/>
              </w:rPr>
              <w:t xml:space="preserve"> </w:t>
            </w:r>
            <w:r>
              <w:rPr>
                <w:rFonts w:ascii="Times New Roman;Times;serif" w:hAnsi="Times New Roman;Times;serif"/>
                <w:b w:val="false"/>
                <w:i w:val="false"/>
                <w:caps w:val="false"/>
                <w:smallCaps w:val="false"/>
                <w:sz w:val="22"/>
              </w:rPr>
              <w:t>by</w:t>
            </w:r>
            <w:r>
              <w:rPr>
                <w:caps w:val="false"/>
                <w:smallCaps w:val="false"/>
                <w:spacing w:val="-4"/>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Lender</w:t>
            </w:r>
            <w:r>
              <w:rPr>
                <w:caps w:val="false"/>
                <w:smallCaps w:val="false"/>
                <w:spacing w:val="-3"/>
              </w:rPr>
              <w:t xml:space="preserve"> </w:t>
            </w:r>
            <w:r>
              <w:rPr>
                <w:rFonts w:ascii="Times New Roman;Times;serif" w:hAnsi="Times New Roman;Times;serif"/>
                <w:b w:val="false"/>
                <w:i w:val="false"/>
                <w:caps w:val="false"/>
                <w:smallCaps w:val="false"/>
                <w:sz w:val="22"/>
              </w:rPr>
              <w:t>of</w:t>
            </w:r>
            <w:r>
              <w:rPr>
                <w:caps w:val="false"/>
                <w:smallCaps w:val="false"/>
                <w:spacing w:val="-4"/>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pacing w:val="-2"/>
                <w:sz w:val="22"/>
              </w:rPr>
              <w:t>following:</w:t>
            </w:r>
          </w:p>
        </w:tc>
      </w:tr>
    </w:tbl>
    <w:p>
      <w:pPr>
        <w:pStyle w:val="TextBody"/>
        <w:pBdr/>
        <w:bidi w:val="0"/>
        <w:spacing w:before="240" w:after="283"/>
        <w:ind w:left="360" w:right="357" w:hanging="720"/>
        <w:jc w:val="left"/>
        <w:rPr/>
      </w:pPr>
      <w:r>
        <w:rPr/>
        <w:t>​</w:t>
      </w:r>
    </w:p>
    <w:p>
      <w:pPr>
        <w:pStyle w:val="TextBody"/>
        <w:bidi w:val="0"/>
        <w:spacing w:lineRule="auto" w:line="16"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2</w:t>
      </w:r>
    </w:p>
    <w:p>
      <w:pPr>
        <w:pStyle w:val="TextBody"/>
        <w:bidi w:val="0"/>
        <w:spacing w:lineRule="auto" w:line="16" w:before="13" w:after="0"/>
        <w:ind w:left="20" w:right="0" w:hanging="0"/>
        <w:jc w:val="left"/>
        <w:rPr>
          <w:rFonts w:ascii="Times New Roman;Times;serif" w:hAnsi="Times New Roman;Times;serif"/>
          <w:spacing w:val="-2"/>
          <w:sz w:val="16"/>
        </w:rPr>
      </w:pPr>
      <w:r>
        <w:rPr>
          <w:rFonts w:ascii="Times New Roman;Times;serif" w:hAnsi="Times New Roman;Times;serif"/>
          <w:spacing w:val="-2"/>
          <w:sz w:val="16"/>
        </w:rPr>
        <w:t>220514334</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356" w:hanging="0"/>
        <w:jc w:val="both"/>
        <w:rPr>
          <w:rFonts w:ascii="Times New Roman;Times;serif" w:hAnsi="Times New Roman;Times;serif"/>
          <w:sz w:val="22"/>
        </w:rPr>
      </w:pPr>
      <w:r>
        <w:rPr>
          <w:rFonts w:ascii="Times New Roman;Times;serif" w:hAnsi="Times New Roman;Times;serif"/>
          <w:sz w:val="22"/>
        </w:rPr>
        <w:t>1.the Joinder Agreement, dated as of the date hereof, by and between PDP AZ, the other Borrowers and the Lender;</w:t>
      </w:r>
    </w:p>
    <w:tbl>
      <w:tblPr>
        <w:tblW w:w="7495" w:type="dxa"/>
        <w:jc w:val="left"/>
        <w:tblInd w:w="0" w:type="dxa"/>
        <w:tblLayout w:type="fixed"/>
        <w:tblCellMar>
          <w:top w:w="0" w:type="dxa"/>
          <w:left w:w="0" w:type="dxa"/>
          <w:bottom w:w="0" w:type="dxa"/>
          <w:right w:w="0" w:type="dxa"/>
        </w:tblCellMar>
      </w:tblPr>
      <w:tblGrid>
        <w:gridCol w:w="23"/>
        <w:gridCol w:w="200"/>
        <w:gridCol w:w="727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72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amended</w:t>
            </w:r>
            <w:r>
              <w:rPr>
                <w:caps w:val="false"/>
                <w:smallCaps w:val="false"/>
                <w:spacing w:val="-7"/>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restated</w:t>
            </w:r>
            <w:r>
              <w:rPr>
                <w:caps w:val="false"/>
                <w:smallCaps w:val="false"/>
                <w:spacing w:val="-6"/>
              </w:rPr>
              <w:t xml:space="preserve"> </w:t>
            </w:r>
            <w:r>
              <w:rPr>
                <w:rFonts w:ascii="Times New Roman;Times;serif" w:hAnsi="Times New Roman;Times;serif"/>
                <w:b w:val="false"/>
                <w:i w:val="false"/>
                <w:caps w:val="false"/>
                <w:smallCaps w:val="false"/>
                <w:sz w:val="22"/>
              </w:rPr>
              <w:t>Notes,</w:t>
            </w:r>
            <w:r>
              <w:rPr>
                <w:caps w:val="false"/>
                <w:smallCaps w:val="false"/>
                <w:spacing w:val="-6"/>
              </w:rPr>
              <w:t xml:space="preserve"> </w:t>
            </w:r>
            <w:r>
              <w:rPr>
                <w:rFonts w:ascii="Times New Roman;Times;serif" w:hAnsi="Times New Roman;Times;serif"/>
                <w:b w:val="false"/>
                <w:i w:val="false"/>
                <w:caps w:val="false"/>
                <w:smallCaps w:val="false"/>
                <w:sz w:val="22"/>
              </w:rPr>
              <w:t>executed</w:t>
            </w:r>
            <w:r>
              <w:rPr>
                <w:caps w:val="false"/>
                <w:smallCaps w:val="false"/>
                <w:spacing w:val="-8"/>
              </w:rPr>
              <w:t xml:space="preserve"> </w:t>
            </w:r>
            <w:r>
              <w:rPr>
                <w:rFonts w:ascii="Times New Roman;Times;serif" w:hAnsi="Times New Roman;Times;serif"/>
                <w:b w:val="false"/>
                <w:i w:val="false"/>
                <w:caps w:val="false"/>
                <w:smallCaps w:val="false"/>
                <w:sz w:val="22"/>
              </w:rPr>
              <w:t>by</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Borrowers</w:t>
            </w:r>
            <w:r>
              <w:rPr>
                <w:caps w:val="false"/>
                <w:smallCaps w:val="false"/>
                <w:spacing w:val="-6"/>
              </w:rPr>
              <w:t xml:space="preserve"> </w:t>
            </w:r>
            <w:r>
              <w:rPr>
                <w:rFonts w:ascii="Times New Roman;Times;serif" w:hAnsi="Times New Roman;Times;serif"/>
                <w:b w:val="false"/>
                <w:i w:val="false"/>
                <w:caps w:val="false"/>
                <w:smallCaps w:val="false"/>
                <w:sz w:val="22"/>
              </w:rPr>
              <w:t>(including</w:t>
            </w:r>
            <w:r>
              <w:rPr>
                <w:caps w:val="false"/>
                <w:smallCaps w:val="false"/>
                <w:spacing w:val="-7"/>
              </w:rPr>
              <w:t xml:space="preserve"> </w:t>
            </w:r>
            <w:r>
              <w:rPr>
                <w:rFonts w:ascii="Times New Roman;Times;serif" w:hAnsi="Times New Roman;Times;serif"/>
                <w:b w:val="false"/>
                <w:i w:val="false"/>
                <w:caps w:val="false"/>
                <w:smallCaps w:val="false"/>
                <w:sz w:val="22"/>
              </w:rPr>
              <w:t>PDP</w:t>
            </w:r>
            <w:r>
              <w:rPr>
                <w:caps w:val="false"/>
                <w:smallCaps w:val="false"/>
                <w:spacing w:val="-6"/>
              </w:rPr>
              <w:t xml:space="preserve"> </w:t>
            </w:r>
            <w:r>
              <w:rPr>
                <w:rFonts w:ascii="Times New Roman;Times;serif" w:hAnsi="Times New Roman;Times;serif"/>
                <w:b w:val="false"/>
                <w:i w:val="false"/>
                <w:caps w:val="false"/>
                <w:smallCaps w:val="false"/>
                <w:spacing w:val="-4"/>
                <w:sz w:val="22"/>
              </w:rPr>
              <w:t>AZ);</w:t>
            </w:r>
          </w:p>
        </w:tc>
      </w:tr>
    </w:tbl>
    <w:tbl>
      <w:tblPr>
        <w:tblW w:w="7881" w:type="dxa"/>
        <w:jc w:val="left"/>
        <w:tblInd w:w="0" w:type="dxa"/>
        <w:tblLayout w:type="fixed"/>
        <w:tblCellMar>
          <w:top w:w="0" w:type="dxa"/>
          <w:left w:w="0" w:type="dxa"/>
          <w:bottom w:w="0" w:type="dxa"/>
          <w:right w:w="0" w:type="dxa"/>
        </w:tblCellMar>
      </w:tblPr>
      <w:tblGrid>
        <w:gridCol w:w="23"/>
        <w:gridCol w:w="200"/>
        <w:gridCol w:w="7658"/>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76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current</w:t>
            </w:r>
            <w:r>
              <w:rPr>
                <w:caps w:val="false"/>
                <w:smallCaps w:val="false"/>
                <w:spacing w:val="-10"/>
              </w:rPr>
              <w:t xml:space="preserve"> </w:t>
            </w:r>
            <w:r>
              <w:rPr>
                <w:rFonts w:ascii="Times New Roman;Times;serif" w:hAnsi="Times New Roman;Times;serif"/>
                <w:b w:val="false"/>
                <w:i w:val="false"/>
                <w:caps w:val="false"/>
                <w:smallCaps w:val="false"/>
                <w:sz w:val="22"/>
              </w:rPr>
              <w:t>searches</w:t>
            </w:r>
            <w:r>
              <w:rPr>
                <w:caps w:val="false"/>
                <w:smallCaps w:val="false"/>
                <w:spacing w:val="-9"/>
              </w:rPr>
              <w:t xml:space="preserve"> </w:t>
            </w:r>
            <w:r>
              <w:rPr>
                <w:rFonts w:ascii="Times New Roman;Times;serif" w:hAnsi="Times New Roman;Times;serif"/>
                <w:b w:val="false"/>
                <w:i w:val="false"/>
                <w:caps w:val="false"/>
                <w:smallCaps w:val="false"/>
                <w:sz w:val="22"/>
              </w:rPr>
              <w:t>with</w:t>
            </w:r>
            <w:r>
              <w:rPr>
                <w:caps w:val="false"/>
                <w:smallCaps w:val="false"/>
                <w:spacing w:val="-9"/>
              </w:rPr>
              <w:t xml:space="preserve"> </w:t>
            </w:r>
            <w:r>
              <w:rPr>
                <w:rFonts w:ascii="Times New Roman;Times;serif" w:hAnsi="Times New Roman;Times;serif"/>
                <w:b w:val="false"/>
                <w:i w:val="false"/>
                <w:caps w:val="false"/>
                <w:smallCaps w:val="false"/>
                <w:sz w:val="22"/>
              </w:rPr>
              <w:t>respect</w:t>
            </w:r>
            <w:r>
              <w:rPr>
                <w:caps w:val="false"/>
                <w:smallCaps w:val="false"/>
                <w:spacing w:val="-9"/>
              </w:rPr>
              <w:t xml:space="preserve"> </w:t>
            </w:r>
            <w:r>
              <w:rPr>
                <w:rFonts w:ascii="Times New Roman;Times;serif" w:hAnsi="Times New Roman;Times;serif"/>
                <w:b w:val="false"/>
                <w:i w:val="false"/>
                <w:caps w:val="false"/>
                <w:smallCaps w:val="false"/>
                <w:sz w:val="22"/>
              </w:rPr>
              <w:t>to</w:t>
            </w:r>
            <w:r>
              <w:rPr>
                <w:caps w:val="false"/>
                <w:smallCaps w:val="false"/>
                <w:spacing w:val="-10"/>
              </w:rPr>
              <w:t xml:space="preserve"> </w:t>
            </w:r>
            <w:r>
              <w:rPr>
                <w:rFonts w:ascii="Times New Roman;Times;serif" w:hAnsi="Times New Roman;Times;serif"/>
                <w:b w:val="false"/>
                <w:i w:val="false"/>
                <w:caps w:val="false"/>
                <w:smallCaps w:val="false"/>
                <w:sz w:val="22"/>
              </w:rPr>
              <w:t>PDP</w:t>
            </w:r>
            <w:r>
              <w:rPr>
                <w:caps w:val="false"/>
                <w:smallCaps w:val="false"/>
                <w:spacing w:val="-9"/>
              </w:rPr>
              <w:t xml:space="preserve"> </w:t>
            </w:r>
            <w:r>
              <w:rPr>
                <w:rFonts w:ascii="Times New Roman;Times;serif" w:hAnsi="Times New Roman;Times;serif"/>
                <w:b w:val="false"/>
                <w:i w:val="false"/>
                <w:caps w:val="false"/>
                <w:smallCaps w:val="false"/>
                <w:sz w:val="22"/>
              </w:rPr>
              <w:t>AZ</w:t>
            </w:r>
            <w:r>
              <w:rPr>
                <w:caps w:val="false"/>
                <w:smallCaps w:val="false"/>
                <w:spacing w:val="-9"/>
              </w:rPr>
              <w:t xml:space="preserve"> </w:t>
            </w:r>
            <w:r>
              <w:rPr>
                <w:rFonts w:ascii="Times New Roman;Times;serif" w:hAnsi="Times New Roman;Times;serif"/>
                <w:b w:val="false"/>
                <w:i w:val="false"/>
                <w:caps w:val="false"/>
                <w:smallCaps w:val="false"/>
                <w:sz w:val="22"/>
              </w:rPr>
              <w:t>of</w:t>
            </w:r>
            <w:r>
              <w:rPr>
                <w:caps w:val="false"/>
                <w:smallCaps w:val="false"/>
                <w:spacing w:val="-9"/>
              </w:rPr>
              <w:t xml:space="preserve"> </w:t>
            </w:r>
            <w:r>
              <w:rPr>
                <w:rFonts w:ascii="Times New Roman;Times;serif" w:hAnsi="Times New Roman;Times;serif"/>
                <w:b w:val="false"/>
                <w:i w:val="false"/>
                <w:caps w:val="false"/>
                <w:smallCaps w:val="false"/>
                <w:sz w:val="22"/>
              </w:rPr>
              <w:t>appropriate</w:t>
            </w:r>
            <w:r>
              <w:rPr>
                <w:caps w:val="false"/>
                <w:smallCaps w:val="false"/>
                <w:spacing w:val="-9"/>
              </w:rPr>
              <w:t xml:space="preserve"> </w:t>
            </w:r>
            <w:r>
              <w:rPr>
                <w:rFonts w:ascii="Times New Roman;Times;serif" w:hAnsi="Times New Roman;Times;serif"/>
                <w:b w:val="false"/>
                <w:i w:val="false"/>
                <w:caps w:val="false"/>
                <w:smallCaps w:val="false"/>
                <w:sz w:val="22"/>
              </w:rPr>
              <w:t>filing</w:t>
            </w:r>
            <w:r>
              <w:rPr>
                <w:caps w:val="false"/>
                <w:smallCaps w:val="false"/>
                <w:spacing w:val="-10"/>
              </w:rPr>
              <w:t xml:space="preserve"> </w:t>
            </w:r>
            <w:r>
              <w:rPr>
                <w:rFonts w:ascii="Times New Roman;Times;serif" w:hAnsi="Times New Roman;Times;serif"/>
                <w:b w:val="false"/>
                <w:i w:val="false"/>
                <w:caps w:val="false"/>
                <w:smallCaps w:val="false"/>
                <w:sz w:val="22"/>
              </w:rPr>
              <w:t>offices</w:t>
            </w:r>
            <w:r>
              <w:rPr>
                <w:caps w:val="false"/>
                <w:smallCaps w:val="false"/>
                <w:spacing w:val="-9"/>
              </w:rPr>
              <w:t xml:space="preserve"> </w:t>
            </w:r>
            <w:r>
              <w:rPr>
                <w:rFonts w:ascii="Times New Roman;Times;serif" w:hAnsi="Times New Roman;Times;serif"/>
                <w:b w:val="false"/>
                <w:i w:val="false"/>
                <w:caps w:val="false"/>
                <w:smallCaps w:val="false"/>
                <w:sz w:val="22"/>
              </w:rPr>
              <w:t>showing</w:t>
            </w:r>
            <w:r>
              <w:rPr>
                <w:caps w:val="false"/>
                <w:smallCaps w:val="false"/>
                <w:spacing w:val="-9"/>
              </w:rPr>
              <w:t xml:space="preserve"> </w:t>
            </w:r>
            <w:r>
              <w:rPr>
                <w:rFonts w:ascii="Times New Roman;Times;serif" w:hAnsi="Times New Roman;Times;serif"/>
                <w:b w:val="false"/>
                <w:i w:val="false"/>
                <w:caps w:val="false"/>
                <w:smallCaps w:val="false"/>
                <w:spacing w:val="-4"/>
                <w:sz w:val="22"/>
              </w:rPr>
              <w:t>that</w:t>
            </w:r>
          </w:p>
        </w:tc>
      </w:tr>
    </w:tbl>
    <w:p>
      <w:pPr>
        <w:pStyle w:val="TextBody"/>
        <w:bidi w:val="0"/>
        <w:spacing w:before="0" w:after="0"/>
        <w:ind w:left="2520" w:right="356" w:hanging="0"/>
        <w:jc w:val="both"/>
        <w:rPr>
          <w:rFonts w:ascii="Times New Roman;Times;serif" w:hAnsi="Times New Roman;Times;serif"/>
          <w:sz w:val="22"/>
        </w:rPr>
      </w:pPr>
      <w:r>
        <w:rPr>
          <w:rFonts w:ascii="Times New Roman;Times;serif" w:hAnsi="Times New Roman;Times;serif"/>
          <w:sz w:val="22"/>
        </w:rPr>
        <w:t>(A) no state or federal tax liens have been filed and remain in effect against PDP AZ and (B) no financing statements or assignments of patents, trademarks or copyrights have been filed and remain in effect against PDP AZ except those financing</w:t>
      </w:r>
      <w:r>
        <w:rPr>
          <w:rFonts w:ascii="Times New Roman;Times;serif" w:hAnsi="Times New Roman;Times;serif"/>
          <w:spacing w:val="-12"/>
          <w:sz w:val="22"/>
        </w:rPr>
        <w:t xml:space="preserve"> </w:t>
      </w:r>
      <w:r>
        <w:rPr>
          <w:rFonts w:ascii="Times New Roman;Times;serif" w:hAnsi="Times New Roman;Times;serif"/>
          <w:sz w:val="22"/>
        </w:rPr>
        <w:t>statements</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assignments</w:t>
      </w:r>
      <w:r>
        <w:rPr>
          <w:rFonts w:ascii="Times New Roman;Times;serif" w:hAnsi="Times New Roman;Times;serif"/>
          <w:spacing w:val="-13"/>
          <w:sz w:val="22"/>
        </w:rPr>
        <w:t xml:space="preserve"> </w:t>
      </w:r>
      <w:r>
        <w:rPr>
          <w:rFonts w:ascii="Times New Roman;Times;serif" w:hAnsi="Times New Roman;Times;serif"/>
          <w:sz w:val="22"/>
        </w:rPr>
        <w:t>of</w:t>
      </w:r>
      <w:r>
        <w:rPr>
          <w:rFonts w:ascii="Times New Roman;Times;serif" w:hAnsi="Times New Roman;Times;serif"/>
          <w:spacing w:val="-11"/>
          <w:sz w:val="22"/>
        </w:rPr>
        <w:t xml:space="preserve"> </w:t>
      </w:r>
      <w:r>
        <w:rPr>
          <w:rFonts w:ascii="Times New Roman;Times;serif" w:hAnsi="Times New Roman;Times;serif"/>
          <w:sz w:val="22"/>
        </w:rPr>
        <w:t>patents,</w:t>
      </w:r>
      <w:r>
        <w:rPr>
          <w:rFonts w:ascii="Times New Roman;Times;serif" w:hAnsi="Times New Roman;Times;serif"/>
          <w:spacing w:val="-12"/>
          <w:sz w:val="22"/>
        </w:rPr>
        <w:t xml:space="preserve"> </w:t>
      </w:r>
      <w:r>
        <w:rPr>
          <w:rFonts w:ascii="Times New Roman;Times;serif" w:hAnsi="Times New Roman;Times;serif"/>
          <w:sz w:val="22"/>
        </w:rPr>
        <w:t>trademarks</w:t>
      </w:r>
      <w:r>
        <w:rPr>
          <w:rFonts w:ascii="Times New Roman;Times;serif" w:hAnsi="Times New Roman;Times;serif"/>
          <w:spacing w:val="-13"/>
          <w:sz w:val="22"/>
        </w:rPr>
        <w:t xml:space="preserve"> </w:t>
      </w:r>
      <w:r>
        <w:rPr>
          <w:rFonts w:ascii="Times New Roman;Times;serif" w:hAnsi="Times New Roman;Times;serif"/>
          <w:sz w:val="22"/>
        </w:rPr>
        <w:t>or</w:t>
      </w:r>
      <w:r>
        <w:rPr>
          <w:rFonts w:ascii="Times New Roman;Times;serif" w:hAnsi="Times New Roman;Times;serif"/>
          <w:spacing w:val="-11"/>
          <w:sz w:val="22"/>
        </w:rPr>
        <w:t xml:space="preserve"> </w:t>
      </w:r>
      <w:r>
        <w:rPr>
          <w:rFonts w:ascii="Times New Roman;Times;serif" w:hAnsi="Times New Roman;Times;serif"/>
          <w:sz w:val="22"/>
        </w:rPr>
        <w:t>copyrights</w:t>
      </w:r>
      <w:r>
        <w:rPr>
          <w:rFonts w:ascii="Times New Roman;Times;serif" w:hAnsi="Times New Roman;Times;serif"/>
          <w:spacing w:val="-13"/>
          <w:sz w:val="22"/>
        </w:rPr>
        <w:t xml:space="preserve"> </w:t>
      </w:r>
      <w:r>
        <w:rPr>
          <w:rFonts w:ascii="Times New Roman;Times;serif" w:hAnsi="Times New Roman;Times;serif"/>
          <w:sz w:val="22"/>
        </w:rPr>
        <w:t>relating to Permitted Liens;</w:t>
      </w:r>
    </w:p>
    <w:p>
      <w:pPr>
        <w:pStyle w:val="TextBody"/>
        <w:bidi w:val="0"/>
        <w:spacing w:before="0" w:after="0"/>
        <w:ind w:left="1800" w:right="355" w:hanging="0"/>
        <w:jc w:val="both"/>
        <w:rPr>
          <w:rFonts w:ascii="Times New Roman;Times;serif" w:hAnsi="Times New Roman;Times;serif"/>
          <w:sz w:val="22"/>
        </w:rPr>
      </w:pPr>
      <w:r>
        <w:rPr>
          <w:rFonts w:ascii="Times New Roman;Times;serif" w:hAnsi="Times New Roman;Times;serif"/>
          <w:sz w:val="22"/>
        </w:rPr>
        <w:t>4.certificates of the insurance required under the Credit Agreement and under the Security</w:t>
      </w:r>
      <w:r>
        <w:rPr>
          <w:rFonts w:ascii="Times New Roman;Times;serif" w:hAnsi="Times New Roman;Times;serif"/>
          <w:spacing w:val="-8"/>
          <w:sz w:val="22"/>
        </w:rPr>
        <w:t xml:space="preserve"> </w:t>
      </w:r>
      <w:r>
        <w:rPr>
          <w:rFonts w:ascii="Times New Roman;Times;serif" w:hAnsi="Times New Roman;Times;serif"/>
          <w:sz w:val="22"/>
        </w:rPr>
        <w:t>Documents</w:t>
      </w:r>
      <w:r>
        <w:rPr>
          <w:rFonts w:ascii="Times New Roman;Times;serif" w:hAnsi="Times New Roman;Times;serif"/>
          <w:spacing w:val="-8"/>
          <w:sz w:val="22"/>
        </w:rPr>
        <w:t xml:space="preserve"> </w:t>
      </w:r>
      <w:r>
        <w:rPr>
          <w:rFonts w:ascii="Times New Roman;Times;serif" w:hAnsi="Times New Roman;Times;serif"/>
          <w:sz w:val="22"/>
        </w:rPr>
        <w:t>with</w:t>
      </w:r>
      <w:r>
        <w:rPr>
          <w:rFonts w:ascii="Times New Roman;Times;serif" w:hAnsi="Times New Roman;Times;serif"/>
          <w:spacing w:val="-8"/>
          <w:sz w:val="22"/>
        </w:rPr>
        <w:t xml:space="preserve"> </w:t>
      </w:r>
      <w:r>
        <w:rPr>
          <w:rFonts w:ascii="Times New Roman;Times;serif" w:hAnsi="Times New Roman;Times;serif"/>
          <w:sz w:val="22"/>
        </w:rPr>
        <w:t>respect</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8"/>
          <w:sz w:val="22"/>
        </w:rPr>
        <w:t xml:space="preserve"> </w:t>
      </w:r>
      <w:r>
        <w:rPr>
          <w:rFonts w:ascii="Times New Roman;Times;serif" w:hAnsi="Times New Roman;Times;serif"/>
          <w:sz w:val="22"/>
        </w:rPr>
        <w:t>PDP</w:t>
      </w:r>
      <w:r>
        <w:rPr>
          <w:rFonts w:ascii="Times New Roman;Times;serif" w:hAnsi="Times New Roman;Times;serif"/>
          <w:spacing w:val="-7"/>
          <w:sz w:val="22"/>
        </w:rPr>
        <w:t xml:space="preserve"> </w:t>
      </w:r>
      <w:r>
        <w:rPr>
          <w:rFonts w:ascii="Times New Roman;Times;serif" w:hAnsi="Times New Roman;Times;serif"/>
          <w:sz w:val="22"/>
        </w:rPr>
        <w:t>AZ,</w:t>
      </w:r>
      <w:r>
        <w:rPr>
          <w:rFonts w:ascii="Times New Roman;Times;serif" w:hAnsi="Times New Roman;Times;serif"/>
          <w:spacing w:val="-8"/>
          <w:sz w:val="22"/>
        </w:rPr>
        <w:t xml:space="preserve"> </w:t>
      </w:r>
      <w:r>
        <w:rPr>
          <w:rFonts w:ascii="Times New Roman;Times;serif" w:hAnsi="Times New Roman;Times;serif"/>
          <w:sz w:val="22"/>
        </w:rPr>
        <w:t>with</w:t>
      </w:r>
      <w:r>
        <w:rPr>
          <w:rFonts w:ascii="Times New Roman;Times;serif" w:hAnsi="Times New Roman;Times;serif"/>
          <w:spacing w:val="-8"/>
          <w:sz w:val="22"/>
        </w:rPr>
        <w:t xml:space="preserve"> </w:t>
      </w:r>
      <w:r>
        <w:rPr>
          <w:rFonts w:ascii="Times New Roman;Times;serif" w:hAnsi="Times New Roman;Times;serif"/>
          <w:sz w:val="22"/>
        </w:rPr>
        <w:t>all</w:t>
      </w:r>
      <w:r>
        <w:rPr>
          <w:rFonts w:ascii="Times New Roman;Times;serif" w:hAnsi="Times New Roman;Times;serif"/>
          <w:spacing w:val="-9"/>
          <w:sz w:val="22"/>
        </w:rPr>
        <w:t xml:space="preserve"> </w:t>
      </w:r>
      <w:r>
        <w:rPr>
          <w:rFonts w:ascii="Times New Roman;Times;serif" w:hAnsi="Times New Roman;Times;serif"/>
          <w:sz w:val="22"/>
        </w:rPr>
        <w:t>hazard</w:t>
      </w:r>
      <w:r>
        <w:rPr>
          <w:rFonts w:ascii="Times New Roman;Times;serif" w:hAnsi="Times New Roman;Times;serif"/>
          <w:spacing w:val="-8"/>
          <w:sz w:val="22"/>
        </w:rPr>
        <w:t xml:space="preserve"> </w:t>
      </w:r>
      <w:r>
        <w:rPr>
          <w:rFonts w:ascii="Times New Roman;Times;serif" w:hAnsi="Times New Roman;Times;serif"/>
          <w:sz w:val="22"/>
        </w:rPr>
        <w:t>insurance</w:t>
      </w:r>
      <w:r>
        <w:rPr>
          <w:rFonts w:ascii="Times New Roman;Times;serif" w:hAnsi="Times New Roman;Times;serif"/>
          <w:spacing w:val="-8"/>
          <w:sz w:val="22"/>
        </w:rPr>
        <w:t xml:space="preserve"> </w:t>
      </w:r>
      <w:r>
        <w:rPr>
          <w:rFonts w:ascii="Times New Roman;Times;serif" w:hAnsi="Times New Roman;Times;serif"/>
          <w:sz w:val="22"/>
        </w:rPr>
        <w:t>containing a lender’s loss payable endorsement for personal property in the Lender’s favor and with all liability insurance naming the Lender as an additional insured;</w:t>
      </w:r>
    </w:p>
    <w:p>
      <w:pPr>
        <w:pStyle w:val="TextBody"/>
        <w:bidi w:val="0"/>
        <w:spacing w:before="240" w:after="283"/>
        <w:ind w:left="1800" w:right="357" w:hanging="0"/>
        <w:jc w:val="both"/>
        <w:rPr>
          <w:rFonts w:ascii="Times New Roman;Times;serif" w:hAnsi="Times New Roman;Times;serif"/>
          <w:sz w:val="22"/>
        </w:rPr>
      </w:pPr>
      <w:r>
        <w:rPr>
          <w:rFonts w:ascii="Times New Roman;Times;serif" w:hAnsi="Times New Roman;Times;serif"/>
          <w:sz w:val="22"/>
        </w:rPr>
        <w:t>5.an incumbency certificate from an officer of PDP AZ certifying as to (A) the resolutions of PDP AZ’s directors and, if required, shareholders, authorizing the execution,</w:t>
      </w:r>
      <w:r>
        <w:rPr>
          <w:rFonts w:ascii="Times New Roman;Times;serif" w:hAnsi="Times New Roman;Times;serif"/>
          <w:spacing w:val="-8"/>
          <w:sz w:val="22"/>
        </w:rPr>
        <w:t xml:space="preserve"> </w:t>
      </w:r>
      <w:r>
        <w:rPr>
          <w:rFonts w:ascii="Times New Roman;Times;serif" w:hAnsi="Times New Roman;Times;serif"/>
          <w:sz w:val="22"/>
        </w:rPr>
        <w:t>delivery</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performance</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Loan</w:t>
      </w:r>
      <w:r>
        <w:rPr>
          <w:rFonts w:ascii="Times New Roman;Times;serif" w:hAnsi="Times New Roman;Times;serif"/>
          <w:spacing w:val="-8"/>
          <w:sz w:val="22"/>
        </w:rPr>
        <w:t xml:space="preserve"> </w:t>
      </w:r>
      <w:r>
        <w:rPr>
          <w:rFonts w:ascii="Times New Roman;Times;serif" w:hAnsi="Times New Roman;Times;serif"/>
          <w:sz w:val="22"/>
        </w:rPr>
        <w:t>Documents</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8"/>
          <w:sz w:val="22"/>
        </w:rPr>
        <w:t xml:space="preserve"> </w:t>
      </w:r>
      <w:r>
        <w:rPr>
          <w:rFonts w:ascii="Times New Roman;Times;serif" w:hAnsi="Times New Roman;Times;serif"/>
          <w:sz w:val="22"/>
        </w:rPr>
        <w:t>which</w:t>
      </w:r>
      <w:r>
        <w:rPr>
          <w:rFonts w:ascii="Times New Roman;Times;serif" w:hAnsi="Times New Roman;Times;serif"/>
          <w:spacing w:val="-8"/>
          <w:sz w:val="22"/>
        </w:rPr>
        <w:t xml:space="preserve"> </w:t>
      </w:r>
      <w:r>
        <w:rPr>
          <w:rFonts w:ascii="Times New Roman;Times;serif" w:hAnsi="Times New Roman;Times;serif"/>
          <w:sz w:val="22"/>
        </w:rPr>
        <w:t>it</w:t>
      </w:r>
      <w:r>
        <w:rPr>
          <w:rFonts w:ascii="Times New Roman;Times;serif" w:hAnsi="Times New Roman;Times;serif"/>
          <w:spacing w:val="-8"/>
          <w:sz w:val="22"/>
        </w:rPr>
        <w:t xml:space="preserve"> </w:t>
      </w:r>
      <w:r>
        <w:rPr>
          <w:rFonts w:ascii="Times New Roman;Times;serif" w:hAnsi="Times New Roman;Times;serif"/>
          <w:sz w:val="22"/>
        </w:rPr>
        <w:t>is</w:t>
      </w:r>
      <w:r>
        <w:rPr>
          <w:rFonts w:ascii="Times New Roman;Times;serif" w:hAnsi="Times New Roman;Times;serif"/>
          <w:spacing w:val="-8"/>
          <w:sz w:val="22"/>
        </w:rPr>
        <w:t xml:space="preserve"> </w:t>
      </w:r>
      <w:r>
        <w:rPr>
          <w:rFonts w:ascii="Times New Roman;Times;serif" w:hAnsi="Times New Roman;Times;serif"/>
          <w:sz w:val="22"/>
        </w:rPr>
        <w:t>a</w:t>
      </w:r>
      <w:r>
        <w:rPr>
          <w:rFonts w:ascii="Times New Roman;Times;serif" w:hAnsi="Times New Roman;Times;serif"/>
          <w:spacing w:val="-8"/>
          <w:sz w:val="22"/>
        </w:rPr>
        <w:t xml:space="preserve"> </w:t>
      </w:r>
      <w:r>
        <w:rPr>
          <w:rFonts w:ascii="Times New Roman;Times;serif" w:hAnsi="Times New Roman;Times;serif"/>
          <w:sz w:val="22"/>
        </w:rPr>
        <w:t>party,</w:t>
      </w:r>
    </w:p>
    <w:p>
      <w:pPr>
        <w:pStyle w:val="TextBody"/>
        <w:bidi w:val="0"/>
        <w:spacing w:before="0" w:after="0"/>
        <w:ind w:left="2520" w:right="357" w:hanging="0"/>
        <w:jc w:val="both"/>
        <w:rPr>
          <w:rFonts w:ascii="Times New Roman;Times;serif" w:hAnsi="Times New Roman;Times;serif"/>
          <w:sz w:val="22"/>
        </w:rPr>
      </w:pPr>
      <w:r>
        <w:rPr>
          <w:rFonts w:ascii="Times New Roman;Times;serif" w:hAnsi="Times New Roman;Times;serif"/>
          <w:sz w:val="22"/>
        </w:rPr>
        <w:t>(B) PDP AZ’s operating agreement, and (C) the signatures of PDP AZ’s officers or agents authorized to execute and deliver Loan Documents and other instruments, agreements and certificates, including Advance requests, on PDP AZ’s behalf;</w:t>
      </w:r>
    </w:p>
    <w:p>
      <w:pPr>
        <w:pStyle w:val="TextBody"/>
        <w:bidi w:val="0"/>
        <w:spacing w:before="0" w:after="0"/>
        <w:ind w:left="1800" w:right="355" w:hanging="0"/>
        <w:jc w:val="both"/>
        <w:rPr>
          <w:rFonts w:ascii="Times New Roman;Times;serif" w:hAnsi="Times New Roman;Times;serif"/>
          <w:sz w:val="22"/>
        </w:rPr>
      </w:pPr>
      <w:r>
        <w:rPr>
          <w:rFonts w:ascii="Times New Roman;Times;serif" w:hAnsi="Times New Roman;Times;serif"/>
          <w:sz w:val="22"/>
        </w:rPr>
        <w:t>6.at least five (5) days before the date hereof, if PDP AZ qualifies as a “legal entity customer” under the Beneficial Ownership Regulation, PDP AZ shall have delivered a Beneficial Ownership Certification; and</w:t>
      </w:r>
    </w:p>
    <w:tbl>
      <w:tblPr>
        <w:tblW w:w="6021" w:type="dxa"/>
        <w:jc w:val="left"/>
        <w:tblInd w:w="0" w:type="dxa"/>
        <w:tblLayout w:type="fixed"/>
        <w:tblCellMar>
          <w:top w:w="0" w:type="dxa"/>
          <w:left w:w="0" w:type="dxa"/>
          <w:bottom w:w="0" w:type="dxa"/>
          <w:right w:w="0" w:type="dxa"/>
        </w:tblCellMar>
      </w:tblPr>
      <w:tblGrid>
        <w:gridCol w:w="23"/>
        <w:gridCol w:w="200"/>
        <w:gridCol w:w="5798"/>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w:t>
            </w:r>
          </w:p>
        </w:tc>
        <w:tc>
          <w:tcPr>
            <w:tcW w:w="57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w:t>
            </w:r>
            <w:r>
              <w:rPr>
                <w:caps w:val="false"/>
                <w:smallCaps w:val="false"/>
                <w:spacing w:val="-4"/>
              </w:rPr>
              <w:t xml:space="preserve"> </w:t>
            </w:r>
            <w:r>
              <w:rPr>
                <w:rFonts w:ascii="Times New Roman;Times;serif" w:hAnsi="Times New Roman;Times;serif"/>
                <w:b w:val="false"/>
                <w:i w:val="false"/>
                <w:caps w:val="false"/>
                <w:smallCaps w:val="false"/>
                <w:sz w:val="22"/>
              </w:rPr>
              <w:t>opinion</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counsel</w:t>
            </w:r>
            <w:r>
              <w:rPr>
                <w:caps w:val="false"/>
                <w:smallCaps w:val="false"/>
                <w:spacing w:val="-3"/>
              </w:rPr>
              <w:t xml:space="preserve"> </w:t>
            </w:r>
            <w:r>
              <w:rPr>
                <w:rFonts w:ascii="Times New Roman;Times;serif" w:hAnsi="Times New Roman;Times;serif"/>
                <w:b w:val="false"/>
                <w:i w:val="false"/>
                <w:caps w:val="false"/>
                <w:smallCaps w:val="false"/>
                <w:sz w:val="22"/>
              </w:rPr>
              <w:t>for</w:t>
            </w:r>
            <w:r>
              <w:rPr>
                <w:caps w:val="false"/>
                <w:smallCaps w:val="false"/>
                <w:spacing w:val="-4"/>
              </w:rPr>
              <w:t xml:space="preserve"> </w:t>
            </w:r>
            <w:r>
              <w:rPr>
                <w:rFonts w:ascii="Times New Roman;Times;serif" w:hAnsi="Times New Roman;Times;serif"/>
                <w:b w:val="false"/>
                <w:i w:val="false"/>
                <w:caps w:val="false"/>
                <w:smallCaps w:val="false"/>
                <w:sz w:val="22"/>
              </w:rPr>
              <w:t>PDP</w:t>
            </w:r>
            <w:r>
              <w:rPr>
                <w:caps w:val="false"/>
                <w:smallCaps w:val="false"/>
                <w:spacing w:val="-4"/>
              </w:rPr>
              <w:t xml:space="preserve"> </w:t>
            </w:r>
            <w:r>
              <w:rPr>
                <w:rFonts w:ascii="Times New Roman;Times;serif" w:hAnsi="Times New Roman;Times;serif"/>
                <w:b w:val="false"/>
                <w:i w:val="false"/>
                <w:caps w:val="false"/>
                <w:smallCaps w:val="false"/>
                <w:sz w:val="22"/>
              </w:rPr>
              <w:t>AZ</w:t>
            </w:r>
            <w:r>
              <w:rPr>
                <w:caps w:val="false"/>
                <w:smallCaps w:val="false"/>
                <w:spacing w:val="-3"/>
              </w:rPr>
              <w:t xml:space="preserve"> </w:t>
            </w:r>
            <w:r>
              <w:rPr>
                <w:rFonts w:ascii="Times New Roman;Times;serif" w:hAnsi="Times New Roman;Times;serif"/>
                <w:b w:val="false"/>
                <w:i w:val="false"/>
                <w:caps w:val="false"/>
                <w:smallCaps w:val="false"/>
                <w:sz w:val="22"/>
              </w:rPr>
              <w:t>dated</w:t>
            </w:r>
            <w:r>
              <w:rPr>
                <w:caps w:val="false"/>
                <w:smallCaps w:val="false"/>
                <w:spacing w:val="-4"/>
              </w:rPr>
              <w:t xml:space="preserve"> </w:t>
            </w:r>
            <w:r>
              <w:rPr>
                <w:rFonts w:ascii="Times New Roman;Times;serif" w:hAnsi="Times New Roman;Times;serif"/>
                <w:b w:val="false"/>
                <w:i w:val="false"/>
                <w:caps w:val="false"/>
                <w:smallCaps w:val="false"/>
                <w:sz w:val="22"/>
              </w:rPr>
              <w:t>as</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4"/>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date</w:t>
            </w:r>
            <w:r>
              <w:rPr>
                <w:caps w:val="false"/>
                <w:smallCaps w:val="false"/>
                <w:spacing w:val="-4"/>
              </w:rPr>
              <w:t xml:space="preserve"> </w:t>
            </w:r>
            <w:r>
              <w:rPr>
                <w:rFonts w:ascii="Times New Roman;Times;serif" w:hAnsi="Times New Roman;Times;serif"/>
                <w:b w:val="false"/>
                <w:i w:val="false"/>
                <w:caps w:val="false"/>
                <w:smallCaps w:val="false"/>
                <w:spacing w:val="-2"/>
                <w:sz w:val="22"/>
              </w:rPr>
              <w:t>hereof.</w:t>
            </w:r>
          </w:p>
        </w:tc>
      </w:tr>
    </w:tbl>
    <w:tbl>
      <w:tblPr>
        <w:tblW w:w="10205" w:type="dxa"/>
        <w:jc w:val="left"/>
        <w:tblInd w:w="0" w:type="dxa"/>
        <w:tblLayout w:type="fixed"/>
        <w:tblCellMar>
          <w:top w:w="0" w:type="dxa"/>
          <w:left w:w="0" w:type="dxa"/>
          <w:bottom w:w="0" w:type="dxa"/>
          <w:right w:w="0" w:type="dxa"/>
        </w:tblCellMar>
      </w:tblPr>
      <w:tblGrid>
        <w:gridCol w:w="23"/>
        <w:gridCol w:w="283"/>
        <w:gridCol w:w="987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8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Such</w:t>
            </w:r>
            <w:r>
              <w:rPr>
                <w:caps w:val="false"/>
                <w:smallCaps w:val="false"/>
                <w:spacing w:val="-13"/>
              </w:rPr>
              <w:t xml:space="preserve"> </w:t>
            </w:r>
            <w:r>
              <w:rPr>
                <w:rFonts w:ascii="Times New Roman;Times;serif" w:hAnsi="Times New Roman;Times;serif"/>
                <w:b w:val="false"/>
                <w:i w:val="false"/>
                <w:caps w:val="false"/>
                <w:smallCaps w:val="false"/>
                <w:sz w:val="22"/>
              </w:rPr>
              <w:t>other</w:t>
            </w:r>
            <w:r>
              <w:rPr>
                <w:caps w:val="false"/>
                <w:smallCaps w:val="false"/>
                <w:spacing w:val="-13"/>
              </w:rPr>
              <w:t xml:space="preserve"> </w:t>
            </w:r>
            <w:r>
              <w:rPr>
                <w:rFonts w:ascii="Times New Roman;Times;serif" w:hAnsi="Times New Roman;Times;serif"/>
                <w:b w:val="false"/>
                <w:i w:val="false"/>
                <w:caps w:val="false"/>
                <w:smallCaps w:val="false"/>
                <w:sz w:val="22"/>
              </w:rPr>
              <w:t>documents</w:t>
            </w:r>
            <w:r>
              <w:rPr>
                <w:caps w:val="false"/>
                <w:smallCaps w:val="false"/>
                <w:spacing w:val="-13"/>
              </w:rPr>
              <w:t xml:space="preserve"> </w:t>
            </w:r>
            <w:r>
              <w:rPr>
                <w:rFonts w:ascii="Times New Roman;Times;serif" w:hAnsi="Times New Roman;Times;serif"/>
                <w:b w:val="false"/>
                <w:i w:val="false"/>
                <w:caps w:val="false"/>
                <w:smallCaps w:val="false"/>
                <w:sz w:val="22"/>
              </w:rPr>
              <w:t>and</w:t>
            </w:r>
            <w:r>
              <w:rPr>
                <w:caps w:val="false"/>
                <w:smallCaps w:val="false"/>
                <w:spacing w:val="-13"/>
              </w:rPr>
              <w:t xml:space="preserve"> </w:t>
            </w:r>
            <w:r>
              <w:rPr>
                <w:rFonts w:ascii="Times New Roman;Times;serif" w:hAnsi="Times New Roman;Times;serif"/>
                <w:b w:val="false"/>
                <w:i w:val="false"/>
                <w:caps w:val="false"/>
                <w:smallCaps w:val="false"/>
                <w:sz w:val="22"/>
              </w:rPr>
              <w:t>information</w:t>
            </w:r>
            <w:r>
              <w:rPr>
                <w:caps w:val="false"/>
                <w:smallCaps w:val="false"/>
                <w:spacing w:val="-13"/>
              </w:rPr>
              <w:t xml:space="preserve"> </w:t>
            </w:r>
            <w:r>
              <w:rPr>
                <w:rFonts w:ascii="Times New Roman;Times;serif" w:hAnsi="Times New Roman;Times;serif"/>
                <w:b w:val="false"/>
                <w:i w:val="false"/>
                <w:caps w:val="false"/>
                <w:smallCaps w:val="false"/>
                <w:sz w:val="22"/>
              </w:rPr>
              <w:t>as</w:t>
            </w:r>
            <w:r>
              <w:rPr>
                <w:caps w:val="false"/>
                <w:smallCaps w:val="false"/>
                <w:spacing w:val="-13"/>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Lender</w:t>
            </w:r>
            <w:r>
              <w:rPr>
                <w:caps w:val="false"/>
                <w:smallCaps w:val="false"/>
                <w:spacing w:val="-13"/>
              </w:rPr>
              <w:t xml:space="preserve"> </w:t>
            </w:r>
            <w:r>
              <w:rPr>
                <w:rFonts w:ascii="Times New Roman;Times;serif" w:hAnsi="Times New Roman;Times;serif"/>
                <w:b w:val="false"/>
                <w:i w:val="false"/>
                <w:caps w:val="false"/>
                <w:smallCaps w:val="false"/>
                <w:sz w:val="22"/>
              </w:rPr>
              <w:t>may</w:t>
            </w:r>
            <w:r>
              <w:rPr>
                <w:caps w:val="false"/>
                <w:smallCaps w:val="false"/>
                <w:spacing w:val="-13"/>
              </w:rPr>
              <w:t xml:space="preserve"> </w:t>
            </w:r>
            <w:r>
              <w:rPr>
                <w:rFonts w:ascii="Times New Roman;Times;serif" w:hAnsi="Times New Roman;Times;serif"/>
                <w:b w:val="false"/>
                <w:i w:val="false"/>
                <w:caps w:val="false"/>
                <w:smallCaps w:val="false"/>
                <w:sz w:val="22"/>
              </w:rPr>
              <w:t>reasonably</w:t>
            </w:r>
            <w:r>
              <w:rPr>
                <w:caps w:val="false"/>
                <w:smallCaps w:val="false"/>
                <w:spacing w:val="-13"/>
              </w:rPr>
              <w:t xml:space="preserve"> </w:t>
            </w:r>
            <w:r>
              <w:rPr>
                <w:rFonts w:ascii="Times New Roman;Times;serif" w:hAnsi="Times New Roman;Times;serif"/>
                <w:b w:val="false"/>
                <w:i w:val="false"/>
                <w:caps w:val="false"/>
                <w:smallCaps w:val="false"/>
                <w:sz w:val="22"/>
              </w:rPr>
              <w:t>require</w:t>
            </w:r>
            <w:r>
              <w:rPr>
                <w:caps w:val="false"/>
                <w:smallCaps w:val="false"/>
                <w:spacing w:val="-13"/>
              </w:rPr>
              <w:t xml:space="preserve"> </w:t>
            </w:r>
            <w:r>
              <w:rPr>
                <w:rFonts w:ascii="Times New Roman;Times;serif" w:hAnsi="Times New Roman;Times;serif"/>
                <w:b w:val="false"/>
                <w:i w:val="false"/>
                <w:caps w:val="false"/>
                <w:smallCaps w:val="false"/>
                <w:sz w:val="22"/>
              </w:rPr>
              <w:t>in</w:t>
            </w:r>
            <w:r>
              <w:rPr>
                <w:caps w:val="false"/>
                <w:smallCaps w:val="false"/>
                <w:spacing w:val="-12"/>
              </w:rPr>
              <w:t xml:space="preserve"> </w:t>
            </w:r>
            <w:r>
              <w:rPr>
                <w:rFonts w:ascii="Times New Roman;Times;serif" w:hAnsi="Times New Roman;Times;serif"/>
                <w:b w:val="false"/>
                <w:i w:val="false"/>
                <w:caps w:val="false"/>
                <w:smallCaps w:val="false"/>
                <w:sz w:val="22"/>
              </w:rPr>
              <w:t>connection with this Amendment.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360" w:right="356" w:hanging="0"/>
        <w:jc w:val="both"/>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2"/>
          <w:u w:val="single"/>
        </w:rPr>
        <w:t>Reaffirmation</w:t>
      </w:r>
      <w:r>
        <w:rPr>
          <w:rFonts w:ascii="Times New Roman;Times;serif" w:hAnsi="Times New Roman;Times;serif"/>
          <w:spacing w:val="-4"/>
          <w:sz w:val="22"/>
          <w:u w:val="single"/>
        </w:rPr>
        <w:t xml:space="preserve"> </w:t>
      </w:r>
      <w:r>
        <w:rPr>
          <w:rFonts w:ascii="Times New Roman;Times;serif" w:hAnsi="Times New Roman;Times;serif"/>
          <w:sz w:val="22"/>
          <w:u w:val="single"/>
        </w:rPr>
        <w:t>of</w:t>
      </w:r>
      <w:r>
        <w:rPr>
          <w:rFonts w:ascii="Times New Roman;Times;serif" w:hAnsi="Times New Roman;Times;serif"/>
          <w:spacing w:val="-4"/>
          <w:sz w:val="22"/>
          <w:u w:val="single"/>
        </w:rPr>
        <w:t xml:space="preserve"> </w:t>
      </w:r>
      <w:r>
        <w:rPr>
          <w:rFonts w:ascii="Times New Roman;Times;serif" w:hAnsi="Times New Roman;Times;serif"/>
          <w:sz w:val="22"/>
          <w:u w:val="single"/>
        </w:rPr>
        <w:t>Loan</w:t>
      </w:r>
      <w:r>
        <w:rPr>
          <w:rFonts w:ascii="Times New Roman;Times;serif" w:hAnsi="Times New Roman;Times;serif"/>
          <w:spacing w:val="-4"/>
          <w:sz w:val="22"/>
          <w:u w:val="single"/>
        </w:rPr>
        <w:t xml:space="preserve"> </w:t>
      </w:r>
      <w:r>
        <w:rPr>
          <w:rFonts w:ascii="Times New Roman;Times;serif" w:hAnsi="Times New Roman;Times;serif"/>
          <w:sz w:val="22"/>
          <w:u w:val="single"/>
        </w:rPr>
        <w:t>Documents.</w:t>
      </w:r>
      <w:r>
        <w:rPr>
          <w:rFonts w:ascii="Times New Roman;Times;serif" w:hAnsi="Times New Roman;Times;serif"/>
          <w:spacing w:val="-4"/>
          <w:sz w:val="22"/>
        </w:rPr>
        <w:t xml:space="preserve"> </w:t>
      </w:r>
      <w:r>
        <w:rPr>
          <w:rFonts w:ascii="Times New Roman;Times;serif" w:hAnsi="Times New Roman;Times;serif"/>
          <w:sz w:val="22"/>
        </w:rPr>
        <w:t>Each</w:t>
      </w:r>
      <w:r>
        <w:rPr>
          <w:rFonts w:ascii="Times New Roman;Times;serif" w:hAnsi="Times New Roman;Times;serif"/>
          <w:spacing w:val="-4"/>
          <w:sz w:val="22"/>
        </w:rPr>
        <w:t xml:space="preserve"> </w:t>
      </w:r>
      <w:r>
        <w:rPr>
          <w:rFonts w:ascii="Times New Roman;Times;serif" w:hAnsi="Times New Roman;Times;serif"/>
          <w:sz w:val="22"/>
        </w:rPr>
        <w:t>Borrower</w:t>
      </w:r>
      <w:r>
        <w:rPr>
          <w:rFonts w:ascii="Times New Roman;Times;serif" w:hAnsi="Times New Roman;Times;serif"/>
          <w:spacing w:val="-2"/>
          <w:sz w:val="22"/>
        </w:rPr>
        <w:t xml:space="preserve"> </w:t>
      </w:r>
      <w:r>
        <w:rPr>
          <w:rFonts w:ascii="Times New Roman;Times;serif" w:hAnsi="Times New Roman;Times;serif"/>
          <w:sz w:val="22"/>
        </w:rPr>
        <w:t>hereby</w:t>
      </w:r>
      <w:r>
        <w:rPr>
          <w:rFonts w:ascii="Times New Roman;Times;serif" w:hAnsi="Times New Roman;Times;serif"/>
          <w:spacing w:val="-4"/>
          <w:sz w:val="22"/>
        </w:rPr>
        <w:t xml:space="preserve"> </w:t>
      </w:r>
      <w:r>
        <w:rPr>
          <w:rFonts w:ascii="Times New Roman;Times;serif" w:hAnsi="Times New Roman;Times;serif"/>
          <w:sz w:val="22"/>
        </w:rPr>
        <w:t>repeats</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reaffirms</w:t>
      </w:r>
      <w:r>
        <w:rPr>
          <w:rFonts w:ascii="Times New Roman;Times;serif" w:hAnsi="Times New Roman;Times;serif"/>
          <w:spacing w:val="-4"/>
          <w:sz w:val="22"/>
        </w:rPr>
        <w:t xml:space="preserve"> </w:t>
      </w:r>
      <w:r>
        <w:rPr>
          <w:rFonts w:ascii="Times New Roman;Times;serif" w:hAnsi="Times New Roman;Times;serif"/>
          <w:sz w:val="22"/>
        </w:rPr>
        <w:t>each</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all</w:t>
      </w:r>
      <w:r>
        <w:rPr>
          <w:rFonts w:ascii="Times New Roman;Times;serif" w:hAnsi="Times New Roman;Times;serif"/>
          <w:spacing w:val="-4"/>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its respective</w:t>
      </w:r>
      <w:r>
        <w:rPr>
          <w:rFonts w:ascii="Times New Roman;Times;serif" w:hAnsi="Times New Roman;Times;serif"/>
          <w:spacing w:val="-4"/>
          <w:sz w:val="22"/>
        </w:rPr>
        <w:t xml:space="preserve"> </w:t>
      </w:r>
      <w:r>
        <w:rPr>
          <w:rFonts w:ascii="Times New Roman;Times;serif" w:hAnsi="Times New Roman;Times;serif"/>
          <w:sz w:val="22"/>
        </w:rPr>
        <w:t>obligations</w:t>
      </w:r>
      <w:r>
        <w:rPr>
          <w:rFonts w:ascii="Times New Roman;Times;serif" w:hAnsi="Times New Roman;Times;serif"/>
          <w:spacing w:val="-4"/>
          <w:sz w:val="22"/>
        </w:rPr>
        <w:t xml:space="preserve"> </w:t>
      </w:r>
      <w:r>
        <w:rPr>
          <w:rFonts w:ascii="Times New Roman;Times;serif" w:hAnsi="Times New Roman;Times;serif"/>
          <w:sz w:val="22"/>
        </w:rPr>
        <w:t>under</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Loan</w:t>
      </w:r>
      <w:r>
        <w:rPr>
          <w:rFonts w:ascii="Times New Roman;Times;serif" w:hAnsi="Times New Roman;Times;serif"/>
          <w:spacing w:val="-4"/>
          <w:sz w:val="22"/>
        </w:rPr>
        <w:t xml:space="preserve"> </w:t>
      </w:r>
      <w:r>
        <w:rPr>
          <w:rFonts w:ascii="Times New Roman;Times;serif" w:hAnsi="Times New Roman;Times;serif"/>
          <w:sz w:val="22"/>
        </w:rPr>
        <w:t>Documents,</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agrees</w:t>
      </w:r>
      <w:r>
        <w:rPr>
          <w:rFonts w:ascii="Times New Roman;Times;serif" w:hAnsi="Times New Roman;Times;serif"/>
          <w:spacing w:val="-5"/>
          <w:sz w:val="22"/>
        </w:rPr>
        <w:t xml:space="preserve"> </w:t>
      </w:r>
      <w:r>
        <w:rPr>
          <w:rFonts w:ascii="Times New Roman;Times;serif" w:hAnsi="Times New Roman;Times;serif"/>
          <w:sz w:val="22"/>
        </w:rPr>
        <w:t>that</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obligations</w:t>
      </w:r>
      <w:r>
        <w:rPr>
          <w:rFonts w:ascii="Times New Roman;Times;serif" w:hAnsi="Times New Roman;Times;serif"/>
          <w:spacing w:val="-5"/>
          <w:sz w:val="22"/>
        </w:rPr>
        <w:t xml:space="preserve"> </w:t>
      </w:r>
      <w:r>
        <w:rPr>
          <w:rFonts w:ascii="Times New Roman;Times;serif" w:hAnsi="Times New Roman;Times;serif"/>
          <w:sz w:val="22"/>
        </w:rPr>
        <w:t>secured</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the liens</w:t>
      </w:r>
      <w:r>
        <w:rPr>
          <w:rFonts w:ascii="Times New Roman;Times;serif" w:hAnsi="Times New Roman;Times;serif"/>
          <w:spacing w:val="-8"/>
          <w:sz w:val="22"/>
        </w:rPr>
        <w:t xml:space="preserve"> </w:t>
      </w:r>
      <w:r>
        <w:rPr>
          <w:rFonts w:ascii="Times New Roman;Times;serif" w:hAnsi="Times New Roman;Times;serif"/>
          <w:sz w:val="22"/>
        </w:rPr>
        <w:t>granted)</w:t>
      </w:r>
      <w:r>
        <w:rPr>
          <w:rFonts w:ascii="Times New Roman;Times;serif" w:hAnsi="Times New Roman;Times;serif"/>
          <w:spacing w:val="-8"/>
          <w:sz w:val="22"/>
        </w:rPr>
        <w:t xml:space="preserve"> </w:t>
      </w:r>
      <w:r>
        <w:rPr>
          <w:rFonts w:ascii="Times New Roman;Times;serif" w:hAnsi="Times New Roman;Times;serif"/>
          <w:sz w:val="22"/>
        </w:rPr>
        <w:t>pursuant</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Security</w:t>
      </w:r>
      <w:r>
        <w:rPr>
          <w:rFonts w:ascii="Times New Roman;Times;serif" w:hAnsi="Times New Roman;Times;serif"/>
          <w:spacing w:val="-8"/>
          <w:sz w:val="22"/>
        </w:rPr>
        <w:t xml:space="preserve"> </w:t>
      </w:r>
      <w:r>
        <w:rPr>
          <w:rFonts w:ascii="Times New Roman;Times;serif" w:hAnsi="Times New Roman;Times;serif"/>
          <w:sz w:val="22"/>
        </w:rPr>
        <w:t>Documents</w:t>
      </w:r>
      <w:r>
        <w:rPr>
          <w:rFonts w:ascii="Times New Roman;Times;serif" w:hAnsi="Times New Roman;Times;serif"/>
          <w:spacing w:val="-8"/>
          <w:sz w:val="22"/>
        </w:rPr>
        <w:t xml:space="preserve"> </w:t>
      </w:r>
      <w:r>
        <w:rPr>
          <w:rFonts w:ascii="Times New Roman;Times;serif" w:hAnsi="Times New Roman;Times;serif"/>
          <w:sz w:val="22"/>
        </w:rPr>
        <w:t>(including,</w:t>
      </w:r>
      <w:r>
        <w:rPr>
          <w:rFonts w:ascii="Times New Roman;Times;serif" w:hAnsi="Times New Roman;Times;serif"/>
          <w:spacing w:val="-8"/>
          <w:sz w:val="22"/>
        </w:rPr>
        <w:t xml:space="preserve"> </w:t>
      </w:r>
      <w:r>
        <w:rPr>
          <w:rFonts w:ascii="Times New Roman;Times;serif" w:hAnsi="Times New Roman;Times;serif"/>
          <w:sz w:val="22"/>
        </w:rPr>
        <w:t>without</w:t>
      </w:r>
      <w:r>
        <w:rPr>
          <w:rFonts w:ascii="Times New Roman;Times;serif" w:hAnsi="Times New Roman;Times;serif"/>
          <w:spacing w:val="-8"/>
          <w:sz w:val="22"/>
        </w:rPr>
        <w:t xml:space="preserve"> </w:t>
      </w:r>
      <w:r>
        <w:rPr>
          <w:rFonts w:ascii="Times New Roman;Times;serif" w:hAnsi="Times New Roman;Times;serif"/>
          <w:sz w:val="22"/>
        </w:rPr>
        <w:t>limitation,</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Notes</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8"/>
          <w:sz w:val="22"/>
        </w:rPr>
        <w:t xml:space="preserve"> </w:t>
      </w:r>
      <w:r>
        <w:rPr>
          <w:rFonts w:ascii="Times New Roman;Times;serif" w:hAnsi="Times New Roman;Times;serif"/>
          <w:sz w:val="22"/>
        </w:rPr>
        <w:t>the other Loan Documents) are in full force and effect as of the date hereof, not subject to any offset, defense</w:t>
      </w:r>
      <w:r>
        <w:rPr>
          <w:rFonts w:ascii="Times New Roman;Times;serif" w:hAnsi="Times New Roman;Times;serif"/>
          <w:spacing w:val="-13"/>
          <w:sz w:val="22"/>
        </w:rPr>
        <w:t xml:space="preserve"> </w:t>
      </w:r>
      <w:r>
        <w:rPr>
          <w:rFonts w:ascii="Times New Roman;Times;serif" w:hAnsi="Times New Roman;Times;serif"/>
          <w:sz w:val="22"/>
        </w:rPr>
        <w:t>or</w:t>
      </w:r>
      <w:r>
        <w:rPr>
          <w:rFonts w:ascii="Times New Roman;Times;serif" w:hAnsi="Times New Roman;Times;serif"/>
          <w:spacing w:val="-13"/>
          <w:sz w:val="22"/>
        </w:rPr>
        <w:t xml:space="preserve"> </w:t>
      </w:r>
      <w:r>
        <w:rPr>
          <w:rFonts w:ascii="Times New Roman;Times;serif" w:hAnsi="Times New Roman;Times;serif"/>
          <w:sz w:val="22"/>
        </w:rPr>
        <w:t>counterclaim</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3"/>
          <w:sz w:val="22"/>
        </w:rPr>
        <w:t xml:space="preserve"> </w:t>
      </w:r>
      <w:r>
        <w:rPr>
          <w:rFonts w:ascii="Times New Roman;Times;serif" w:hAnsi="Times New Roman;Times;serif"/>
          <w:sz w:val="22"/>
        </w:rPr>
        <w:t>this</w:t>
      </w:r>
      <w:r>
        <w:rPr>
          <w:rFonts w:ascii="Times New Roman;Times;serif" w:hAnsi="Times New Roman;Times;serif"/>
          <w:spacing w:val="-13"/>
          <w:sz w:val="22"/>
        </w:rPr>
        <w:t xml:space="preserve"> </w:t>
      </w:r>
      <w:r>
        <w:rPr>
          <w:rFonts w:ascii="Times New Roman;Times;serif" w:hAnsi="Times New Roman;Times;serif"/>
          <w:sz w:val="22"/>
        </w:rPr>
        <w:t>Amendment</w:t>
      </w:r>
      <w:r>
        <w:rPr>
          <w:rFonts w:ascii="Times New Roman;Times;serif" w:hAnsi="Times New Roman;Times;serif"/>
          <w:spacing w:val="-13"/>
          <w:sz w:val="22"/>
        </w:rPr>
        <w:t xml:space="preserve"> </w:t>
      </w:r>
      <w:r>
        <w:rPr>
          <w:rFonts w:ascii="Times New Roman;Times;serif" w:hAnsi="Times New Roman;Times;serif"/>
          <w:sz w:val="22"/>
        </w:rPr>
        <w:t>does</w:t>
      </w:r>
      <w:r>
        <w:rPr>
          <w:rFonts w:ascii="Times New Roman;Times;serif" w:hAnsi="Times New Roman;Times;serif"/>
          <w:spacing w:val="-13"/>
          <w:sz w:val="22"/>
        </w:rPr>
        <w:t xml:space="preserve"> </w:t>
      </w:r>
      <w:r>
        <w:rPr>
          <w:rFonts w:ascii="Times New Roman;Times;serif" w:hAnsi="Times New Roman;Times;serif"/>
          <w:sz w:val="22"/>
        </w:rPr>
        <w:t>not</w:t>
      </w:r>
      <w:r>
        <w:rPr>
          <w:rFonts w:ascii="Times New Roman;Times;serif" w:hAnsi="Times New Roman;Times;serif"/>
          <w:spacing w:val="-13"/>
          <w:sz w:val="22"/>
        </w:rPr>
        <w:t xml:space="preserve"> </w:t>
      </w:r>
      <w:r>
        <w:rPr>
          <w:rFonts w:ascii="Times New Roman;Times;serif" w:hAnsi="Times New Roman;Times;serif"/>
          <w:sz w:val="22"/>
        </w:rPr>
        <w:t>constitute</w:t>
      </w:r>
      <w:r>
        <w:rPr>
          <w:rFonts w:ascii="Times New Roman;Times;serif" w:hAnsi="Times New Roman;Times;serif"/>
          <w:spacing w:val="-13"/>
          <w:sz w:val="22"/>
        </w:rPr>
        <w:t xml:space="preserve"> </w:t>
      </w:r>
      <w:r>
        <w:rPr>
          <w:rFonts w:ascii="Times New Roman;Times;serif" w:hAnsi="Times New Roman;Times;serif"/>
          <w:sz w:val="22"/>
        </w:rPr>
        <w:t>a</w:t>
      </w:r>
      <w:r>
        <w:rPr>
          <w:rFonts w:ascii="Times New Roman;Times;serif" w:hAnsi="Times New Roman;Times;serif"/>
          <w:spacing w:val="-13"/>
          <w:sz w:val="22"/>
        </w:rPr>
        <w:t xml:space="preserve"> </w:t>
      </w:r>
      <w:r>
        <w:rPr>
          <w:rFonts w:ascii="Times New Roman;Times;serif" w:hAnsi="Times New Roman;Times;serif"/>
          <w:sz w:val="22"/>
        </w:rPr>
        <w:t>novation</w:t>
      </w:r>
      <w:r>
        <w:rPr>
          <w:rFonts w:ascii="Times New Roman;Times;serif" w:hAnsi="Times New Roman;Times;serif"/>
          <w:spacing w:val="-13"/>
          <w:sz w:val="22"/>
        </w:rPr>
        <w:t xml:space="preserve"> </w:t>
      </w:r>
      <w:r>
        <w:rPr>
          <w:rFonts w:ascii="Times New Roman;Times;serif" w:hAnsi="Times New Roman;Times;serif"/>
          <w:sz w:val="22"/>
        </w:rPr>
        <w:t>of</w:t>
      </w:r>
      <w:r>
        <w:rPr>
          <w:rFonts w:ascii="Times New Roman;Times;serif" w:hAnsi="Times New Roman;Times;serif"/>
          <w:spacing w:val="-13"/>
          <w:sz w:val="22"/>
        </w:rPr>
        <w:t xml:space="preserve"> </w:t>
      </w:r>
      <w:r>
        <w:rPr>
          <w:rFonts w:ascii="Times New Roman;Times;serif" w:hAnsi="Times New Roman;Times;serif"/>
          <w:sz w:val="22"/>
        </w:rPr>
        <w:t>any</w:t>
      </w:r>
      <w:r>
        <w:rPr>
          <w:rFonts w:ascii="Times New Roman;Times;serif" w:hAnsi="Times New Roman;Times;serif"/>
          <w:spacing w:val="-13"/>
          <w:sz w:val="22"/>
        </w:rPr>
        <w:t xml:space="preserve"> </w:t>
      </w:r>
      <w:r>
        <w:rPr>
          <w:rFonts w:ascii="Times New Roman;Times;serif" w:hAnsi="Times New Roman;Times;serif"/>
          <w:sz w:val="22"/>
        </w:rPr>
        <w:t>such</w:t>
      </w:r>
      <w:r>
        <w:rPr>
          <w:rFonts w:ascii="Times New Roman;Times;serif" w:hAnsi="Times New Roman;Times;serif"/>
          <w:spacing w:val="-13"/>
          <w:sz w:val="22"/>
        </w:rPr>
        <w:t xml:space="preserve"> </w:t>
      </w:r>
      <w:r>
        <w:rPr>
          <w:rFonts w:ascii="Times New Roman;Times;serif" w:hAnsi="Times New Roman;Times;serif"/>
          <w:sz w:val="22"/>
        </w:rPr>
        <w:t>obligations or liens granted thereunder.</w:t>
      </w:r>
    </w:p>
    <w:p>
      <w:pPr>
        <w:pStyle w:val="TextBody"/>
        <w:bidi w:val="0"/>
        <w:spacing w:before="240" w:after="0"/>
        <w:ind w:left="360" w:right="357" w:hanging="0"/>
        <w:jc w:val="both"/>
        <w:rPr>
          <w:rFonts w:ascii="Times New Roman;Times;serif" w:hAnsi="Times New Roman;Times;serif"/>
          <w:sz w:val="22"/>
        </w:rPr>
      </w:pPr>
      <w:r>
        <w:rPr>
          <w:rFonts w:ascii="Times New Roman;Times;serif" w:hAnsi="Times New Roman;Times;serif"/>
          <w:sz w:val="22"/>
        </w:rPr>
        <w:t>6.</w:t>
      </w:r>
      <w:r>
        <w:rPr>
          <w:rFonts w:ascii="Times New Roman;Times;serif" w:hAnsi="Times New Roman;Times;serif"/>
          <w:sz w:val="22"/>
          <w:u w:val="single"/>
        </w:rPr>
        <w:t>Costs</w:t>
      </w:r>
      <w:r>
        <w:rPr>
          <w:rFonts w:ascii="Times New Roman;Times;serif" w:hAnsi="Times New Roman;Times;serif"/>
          <w:spacing w:val="-10"/>
          <w:sz w:val="22"/>
          <w:u w:val="single"/>
        </w:rPr>
        <w:t xml:space="preserve"> </w:t>
      </w:r>
      <w:r>
        <w:rPr>
          <w:rFonts w:ascii="Times New Roman;Times;serif" w:hAnsi="Times New Roman;Times;serif"/>
          <w:sz w:val="22"/>
          <w:u w:val="single"/>
        </w:rPr>
        <w:t>and</w:t>
      </w:r>
      <w:r>
        <w:rPr>
          <w:rFonts w:ascii="Times New Roman;Times;serif" w:hAnsi="Times New Roman;Times;serif"/>
          <w:spacing w:val="-10"/>
          <w:sz w:val="22"/>
          <w:u w:val="single"/>
        </w:rPr>
        <w:t xml:space="preserve"> </w:t>
      </w:r>
      <w:r>
        <w:rPr>
          <w:rFonts w:ascii="Times New Roman;Times;serif" w:hAnsi="Times New Roman;Times;serif"/>
          <w:sz w:val="22"/>
          <w:u w:val="single"/>
        </w:rPr>
        <w:t>Expenses.</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0"/>
          <w:sz w:val="22"/>
        </w:rPr>
        <w:t xml:space="preserve"> </w:t>
      </w:r>
      <w:r>
        <w:rPr>
          <w:rFonts w:ascii="Times New Roman;Times;serif" w:hAnsi="Times New Roman;Times;serif"/>
          <w:sz w:val="22"/>
        </w:rPr>
        <w:t>Borrowers</w:t>
      </w:r>
      <w:r>
        <w:rPr>
          <w:rFonts w:ascii="Times New Roman;Times;serif" w:hAnsi="Times New Roman;Times;serif"/>
          <w:spacing w:val="-10"/>
          <w:sz w:val="22"/>
        </w:rPr>
        <w:t xml:space="preserve"> </w:t>
      </w:r>
      <w:r>
        <w:rPr>
          <w:rFonts w:ascii="Times New Roman;Times;serif" w:hAnsi="Times New Roman;Times;serif"/>
          <w:sz w:val="22"/>
        </w:rPr>
        <w:t>shall</w:t>
      </w:r>
      <w:r>
        <w:rPr>
          <w:rFonts w:ascii="Times New Roman;Times;serif" w:hAnsi="Times New Roman;Times;serif"/>
          <w:spacing w:val="-10"/>
          <w:sz w:val="22"/>
        </w:rPr>
        <w:t xml:space="preserve"> </w:t>
      </w:r>
      <w:r>
        <w:rPr>
          <w:rFonts w:ascii="Times New Roman;Times;serif" w:hAnsi="Times New Roman;Times;serif"/>
          <w:sz w:val="22"/>
        </w:rPr>
        <w:t>pay</w:t>
      </w:r>
      <w:r>
        <w:rPr>
          <w:rFonts w:ascii="Times New Roman;Times;serif" w:hAnsi="Times New Roman;Times;serif"/>
          <w:spacing w:val="-10"/>
          <w:sz w:val="22"/>
        </w:rPr>
        <w:t xml:space="preserve"> </w:t>
      </w:r>
      <w:r>
        <w:rPr>
          <w:rFonts w:ascii="Times New Roman;Times;serif" w:hAnsi="Times New Roman;Times;serif"/>
          <w:sz w:val="22"/>
        </w:rPr>
        <w:t>as</w:t>
      </w:r>
      <w:r>
        <w:rPr>
          <w:rFonts w:ascii="Times New Roman;Times;serif" w:hAnsi="Times New Roman;Times;serif"/>
          <w:spacing w:val="-10"/>
          <w:sz w:val="22"/>
        </w:rPr>
        <w:t xml:space="preserve"> </w:t>
      </w:r>
      <w:r>
        <w:rPr>
          <w:rFonts w:ascii="Times New Roman;Times;serif" w:hAnsi="Times New Roman;Times;serif"/>
          <w:sz w:val="22"/>
        </w:rPr>
        <w:t>a</w:t>
      </w:r>
      <w:r>
        <w:rPr>
          <w:rFonts w:ascii="Times New Roman;Times;serif" w:hAnsi="Times New Roman;Times;serif"/>
          <w:spacing w:val="-10"/>
          <w:sz w:val="22"/>
        </w:rPr>
        <w:t xml:space="preserve"> </w:t>
      </w:r>
      <w:r>
        <w:rPr>
          <w:rFonts w:ascii="Times New Roman;Times;serif" w:hAnsi="Times New Roman;Times;serif"/>
          <w:sz w:val="22"/>
        </w:rPr>
        <w:t>condition</w:t>
      </w:r>
      <w:r>
        <w:rPr>
          <w:rFonts w:ascii="Times New Roman;Times;serif" w:hAnsi="Times New Roman;Times;serif"/>
          <w:spacing w:val="-10"/>
          <w:sz w:val="22"/>
        </w:rPr>
        <w:t xml:space="preserve"> </w:t>
      </w:r>
      <w:r>
        <w:rPr>
          <w:rFonts w:ascii="Times New Roman;Times;serif" w:hAnsi="Times New Roman;Times;serif"/>
          <w:sz w:val="22"/>
        </w:rPr>
        <w:t>to</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Lender’s</w:t>
      </w:r>
      <w:r>
        <w:rPr>
          <w:rFonts w:ascii="Times New Roman;Times;serif" w:hAnsi="Times New Roman;Times;serif"/>
          <w:spacing w:val="-10"/>
          <w:sz w:val="22"/>
        </w:rPr>
        <w:t xml:space="preserve"> </w:t>
      </w:r>
      <w:r>
        <w:rPr>
          <w:rFonts w:ascii="Times New Roman;Times;serif" w:hAnsi="Times New Roman;Times;serif"/>
          <w:sz w:val="22"/>
        </w:rPr>
        <w:t>execution</w:t>
      </w:r>
      <w:r>
        <w:rPr>
          <w:rFonts w:ascii="Times New Roman;Times;serif" w:hAnsi="Times New Roman;Times;serif"/>
          <w:spacing w:val="-10"/>
          <w:sz w:val="22"/>
        </w:rPr>
        <w:t xml:space="preserve"> </w:t>
      </w:r>
      <w:r>
        <w:rPr>
          <w:rFonts w:ascii="Times New Roman;Times;serif" w:hAnsi="Times New Roman;Times;serif"/>
          <w:sz w:val="22"/>
        </w:rPr>
        <w:t>and</w:t>
      </w:r>
      <w:r>
        <w:rPr>
          <w:rFonts w:ascii="Times New Roman;Times;serif" w:hAnsi="Times New Roman;Times;serif"/>
          <w:spacing w:val="-10"/>
          <w:sz w:val="22"/>
        </w:rPr>
        <w:t xml:space="preserve"> </w:t>
      </w:r>
      <w:r>
        <w:rPr>
          <w:rFonts w:ascii="Times New Roman;Times;serif" w:hAnsi="Times New Roman;Times;serif"/>
          <w:sz w:val="22"/>
        </w:rPr>
        <w:t>delivery of</w:t>
      </w:r>
      <w:r>
        <w:rPr>
          <w:rFonts w:ascii="Times New Roman;Times;serif" w:hAnsi="Times New Roman;Times;serif"/>
          <w:spacing w:val="-14"/>
          <w:sz w:val="22"/>
        </w:rPr>
        <w:t xml:space="preserve"> </w:t>
      </w:r>
      <w:r>
        <w:rPr>
          <w:rFonts w:ascii="Times New Roman;Times;serif" w:hAnsi="Times New Roman;Times;serif"/>
          <w:sz w:val="22"/>
        </w:rPr>
        <w:t>this</w:t>
      </w:r>
      <w:r>
        <w:rPr>
          <w:rFonts w:ascii="Times New Roman;Times;serif" w:hAnsi="Times New Roman;Times;serif"/>
          <w:spacing w:val="-14"/>
          <w:sz w:val="22"/>
        </w:rPr>
        <w:t xml:space="preserve"> </w:t>
      </w:r>
      <w:r>
        <w:rPr>
          <w:rFonts w:ascii="Times New Roman;Times;serif" w:hAnsi="Times New Roman;Times;serif"/>
          <w:sz w:val="22"/>
        </w:rPr>
        <w:t>Amendment</w:t>
      </w:r>
      <w:r>
        <w:rPr>
          <w:rFonts w:ascii="Times New Roman;Times;serif" w:hAnsi="Times New Roman;Times;serif"/>
          <w:spacing w:val="-13"/>
          <w:sz w:val="22"/>
        </w:rPr>
        <w:t xml:space="preserve"> </w:t>
      </w:r>
      <w:r>
        <w:rPr>
          <w:rFonts w:ascii="Times New Roman;Times;serif" w:hAnsi="Times New Roman;Times;serif"/>
          <w:sz w:val="22"/>
        </w:rPr>
        <w:t>all</w:t>
      </w:r>
      <w:r>
        <w:rPr>
          <w:rFonts w:ascii="Times New Roman;Times;serif" w:hAnsi="Times New Roman;Times;serif"/>
          <w:spacing w:val="-14"/>
          <w:sz w:val="22"/>
        </w:rPr>
        <w:t xml:space="preserve"> </w:t>
      </w:r>
      <w:r>
        <w:rPr>
          <w:rFonts w:ascii="Times New Roman;Times;serif" w:hAnsi="Times New Roman;Times;serif"/>
          <w:sz w:val="22"/>
        </w:rPr>
        <w:t>costs</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3"/>
          <w:sz w:val="22"/>
        </w:rPr>
        <w:t xml:space="preserve"> </w:t>
      </w:r>
      <w:r>
        <w:rPr>
          <w:rFonts w:ascii="Times New Roman;Times;serif" w:hAnsi="Times New Roman;Times;serif"/>
          <w:sz w:val="22"/>
        </w:rPr>
        <w:t>expenses,</w:t>
      </w:r>
      <w:r>
        <w:rPr>
          <w:rFonts w:ascii="Times New Roman;Times;serif" w:hAnsi="Times New Roman;Times;serif"/>
          <w:spacing w:val="-14"/>
          <w:sz w:val="22"/>
        </w:rPr>
        <w:t xml:space="preserve"> </w:t>
      </w:r>
      <w:r>
        <w:rPr>
          <w:rFonts w:ascii="Times New Roman;Times;serif" w:hAnsi="Times New Roman;Times;serif"/>
          <w:sz w:val="22"/>
        </w:rPr>
        <w:t>including</w:t>
      </w:r>
      <w:r>
        <w:rPr>
          <w:rFonts w:ascii="Times New Roman;Times;serif" w:hAnsi="Times New Roman;Times;serif"/>
          <w:spacing w:val="-13"/>
          <w:sz w:val="22"/>
        </w:rPr>
        <w:t xml:space="preserve"> </w:t>
      </w:r>
      <w:r>
        <w:rPr>
          <w:rFonts w:ascii="Times New Roman;Times;serif" w:hAnsi="Times New Roman;Times;serif"/>
          <w:sz w:val="22"/>
        </w:rPr>
        <w:t>attorneys’</w:t>
      </w:r>
      <w:r>
        <w:rPr>
          <w:rFonts w:ascii="Times New Roman;Times;serif" w:hAnsi="Times New Roman;Times;serif"/>
          <w:spacing w:val="-14"/>
          <w:sz w:val="22"/>
        </w:rPr>
        <w:t xml:space="preserve"> </w:t>
      </w:r>
      <w:r>
        <w:rPr>
          <w:rFonts w:ascii="Times New Roman;Times;serif" w:hAnsi="Times New Roman;Times;serif"/>
          <w:sz w:val="22"/>
        </w:rPr>
        <w:t>fees</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4"/>
          <w:sz w:val="22"/>
        </w:rPr>
        <w:t xml:space="preserve"> </w:t>
      </w:r>
      <w:r>
        <w:rPr>
          <w:rFonts w:ascii="Times New Roman;Times;serif" w:hAnsi="Times New Roman;Times;serif"/>
          <w:sz w:val="22"/>
        </w:rPr>
        <w:t>filing</w:t>
      </w:r>
      <w:r>
        <w:rPr>
          <w:rFonts w:ascii="Times New Roman;Times;serif" w:hAnsi="Times New Roman;Times;serif"/>
          <w:spacing w:val="-14"/>
          <w:sz w:val="22"/>
        </w:rPr>
        <w:t xml:space="preserve"> </w:t>
      </w:r>
      <w:r>
        <w:rPr>
          <w:rFonts w:ascii="Times New Roman;Times;serif" w:hAnsi="Times New Roman;Times;serif"/>
          <w:sz w:val="22"/>
        </w:rPr>
        <w:t>fees,</w:t>
      </w:r>
      <w:r>
        <w:rPr>
          <w:rFonts w:ascii="Times New Roman;Times;serif" w:hAnsi="Times New Roman;Times;serif"/>
          <w:spacing w:val="-13"/>
          <w:sz w:val="22"/>
        </w:rPr>
        <w:t xml:space="preserve"> </w:t>
      </w:r>
      <w:r>
        <w:rPr>
          <w:rFonts w:ascii="Times New Roman;Times;serif" w:hAnsi="Times New Roman;Times;serif"/>
          <w:sz w:val="22"/>
        </w:rPr>
        <w:t>paid</w:t>
      </w:r>
      <w:r>
        <w:rPr>
          <w:rFonts w:ascii="Times New Roman;Times;serif" w:hAnsi="Times New Roman;Times;serif"/>
          <w:spacing w:val="-14"/>
          <w:sz w:val="22"/>
        </w:rPr>
        <w:t xml:space="preserve"> </w:t>
      </w:r>
      <w:r>
        <w:rPr>
          <w:rFonts w:ascii="Times New Roman;Times;serif" w:hAnsi="Times New Roman;Times;serif"/>
          <w:sz w:val="22"/>
        </w:rPr>
        <w:t>or</w:t>
      </w:r>
      <w:r>
        <w:rPr>
          <w:rFonts w:ascii="Times New Roman;Times;serif" w:hAnsi="Times New Roman;Times;serif"/>
          <w:spacing w:val="-14"/>
          <w:sz w:val="22"/>
        </w:rPr>
        <w:t xml:space="preserve"> </w:t>
      </w:r>
      <w:r>
        <w:rPr>
          <w:rFonts w:ascii="Times New Roman;Times;serif" w:hAnsi="Times New Roman;Times;serif"/>
          <w:sz w:val="22"/>
        </w:rPr>
        <w:t>incurred by the Lender in connection with the preparation of this Amendment and the documents related hereto and the closing and consummation of the transaction contemplated hereby.</w:t>
      </w:r>
    </w:p>
    <w:p>
      <w:pPr>
        <w:pStyle w:val="TextBody"/>
        <w:bidi w:val="0"/>
        <w:spacing w:before="240" w:after="283"/>
        <w:ind w:left="360" w:right="355" w:hanging="0"/>
        <w:jc w:val="both"/>
        <w:rPr>
          <w:rFonts w:ascii="Times New Roman;Times;serif" w:hAnsi="Times New Roman;Times;serif"/>
          <w:sz w:val="22"/>
        </w:rPr>
      </w:pPr>
      <w:r>
        <w:rPr>
          <w:rFonts w:ascii="Times New Roman;Times;serif" w:hAnsi="Times New Roman;Times;serif"/>
          <w:sz w:val="22"/>
        </w:rPr>
        <w:t>7.</w:t>
      </w:r>
      <w:r>
        <w:rPr>
          <w:rFonts w:ascii="Times New Roman;Times;serif" w:hAnsi="Times New Roman;Times;serif"/>
          <w:sz w:val="22"/>
          <w:u w:val="single"/>
        </w:rPr>
        <w:t>No Waiver.</w:t>
      </w:r>
      <w:r>
        <w:rPr>
          <w:rFonts w:ascii="Times New Roman;Times;serif" w:hAnsi="Times New Roman;Times;serif"/>
          <w:sz w:val="22"/>
        </w:rPr>
        <w:t xml:space="preserve"> The Borrowers hereby acknowledge and agree that, by executing and delivering this Amendment and the documents related hereto, the Lender is not waiving any existing Default or Event of Default whether known or unknown, or any event, condition or circumstance, whether known</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11"/>
          <w:sz w:val="22"/>
        </w:rPr>
        <w:t xml:space="preserve"> </w:t>
      </w:r>
      <w:r>
        <w:rPr>
          <w:rFonts w:ascii="Times New Roman;Times;serif" w:hAnsi="Times New Roman;Times;serif"/>
          <w:sz w:val="22"/>
        </w:rPr>
        <w:t>unknown,</w:t>
      </w:r>
      <w:r>
        <w:rPr>
          <w:rFonts w:ascii="Times New Roman;Times;serif" w:hAnsi="Times New Roman;Times;serif"/>
          <w:spacing w:val="-9"/>
          <w:sz w:val="22"/>
        </w:rPr>
        <w:t xml:space="preserve"> </w:t>
      </w:r>
      <w:r>
        <w:rPr>
          <w:rFonts w:ascii="Times New Roman;Times;serif" w:hAnsi="Times New Roman;Times;serif"/>
          <w:sz w:val="22"/>
        </w:rPr>
        <w:t>which</w:t>
      </w:r>
      <w:r>
        <w:rPr>
          <w:rFonts w:ascii="Times New Roman;Times;serif" w:hAnsi="Times New Roman;Times;serif"/>
          <w:spacing w:val="-10"/>
          <w:sz w:val="22"/>
        </w:rPr>
        <w:t xml:space="preserve"> </w:t>
      </w:r>
      <w:r>
        <w:rPr>
          <w:rFonts w:ascii="Times New Roman;Times;serif" w:hAnsi="Times New Roman;Times;serif"/>
          <w:sz w:val="22"/>
        </w:rPr>
        <w:t>with</w:t>
      </w:r>
      <w:r>
        <w:rPr>
          <w:rFonts w:ascii="Times New Roman;Times;serif" w:hAnsi="Times New Roman;Times;serif"/>
          <w:spacing w:val="-9"/>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giving</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notice</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11"/>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passage</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time</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9"/>
          <w:sz w:val="22"/>
        </w:rPr>
        <w:t xml:space="preserve"> </w:t>
      </w:r>
      <w:r>
        <w:rPr>
          <w:rFonts w:ascii="Times New Roman;Times;serif" w:hAnsi="Times New Roman;Times;serif"/>
          <w:sz w:val="22"/>
        </w:rPr>
        <w:t>both</w:t>
      </w:r>
      <w:r>
        <w:rPr>
          <w:rFonts w:ascii="Times New Roman;Times;serif" w:hAnsi="Times New Roman;Times;serif"/>
          <w:spacing w:val="-9"/>
          <w:sz w:val="22"/>
        </w:rPr>
        <w:t xml:space="preserve"> </w:t>
      </w:r>
      <w:r>
        <w:rPr>
          <w:rFonts w:ascii="Times New Roman;Times;serif" w:hAnsi="Times New Roman;Times;serif"/>
          <w:sz w:val="22"/>
        </w:rPr>
        <w:t>would</w:t>
      </w:r>
      <w:r>
        <w:rPr>
          <w:rFonts w:ascii="Times New Roman;Times;serif" w:hAnsi="Times New Roman;Times;serif"/>
          <w:spacing w:val="-9"/>
          <w:sz w:val="22"/>
        </w:rPr>
        <w:t xml:space="preserve"> </w:t>
      </w:r>
      <w:r>
        <w:rPr>
          <w:rFonts w:ascii="Times New Roman;Times;serif" w:hAnsi="Times New Roman;Times;serif"/>
          <w:sz w:val="22"/>
        </w:rPr>
        <w:t>constitute a</w:t>
      </w:r>
      <w:r>
        <w:rPr>
          <w:rFonts w:ascii="Times New Roman;Times;serif" w:hAnsi="Times New Roman;Times;serif"/>
          <w:spacing w:val="14"/>
          <w:sz w:val="22"/>
        </w:rPr>
        <w:t xml:space="preserve"> </w:t>
      </w:r>
      <w:r>
        <w:rPr>
          <w:rFonts w:ascii="Times New Roman;Times;serif" w:hAnsi="Times New Roman;Times;serif"/>
          <w:sz w:val="22"/>
        </w:rPr>
        <w:t>Default</w:t>
      </w:r>
      <w:r>
        <w:rPr>
          <w:rFonts w:ascii="Times New Roman;Times;serif" w:hAnsi="Times New Roman;Times;serif"/>
          <w:spacing w:val="14"/>
          <w:sz w:val="22"/>
        </w:rPr>
        <w:t xml:space="preserve"> </w:t>
      </w:r>
      <w:r>
        <w:rPr>
          <w:rFonts w:ascii="Times New Roman;Times;serif" w:hAnsi="Times New Roman;Times;serif"/>
          <w:sz w:val="22"/>
        </w:rPr>
        <w:t>or</w:t>
      </w:r>
      <w:r>
        <w:rPr>
          <w:rFonts w:ascii="Times New Roman;Times;serif" w:hAnsi="Times New Roman;Times;serif"/>
          <w:spacing w:val="14"/>
          <w:sz w:val="22"/>
        </w:rPr>
        <w:t xml:space="preserve"> </w:t>
      </w:r>
      <w:r>
        <w:rPr>
          <w:rFonts w:ascii="Times New Roman;Times;serif" w:hAnsi="Times New Roman;Times;serif"/>
          <w:sz w:val="22"/>
        </w:rPr>
        <w:t>Event</w:t>
      </w:r>
      <w:r>
        <w:rPr>
          <w:rFonts w:ascii="Times New Roman;Times;serif" w:hAnsi="Times New Roman;Times;serif"/>
          <w:spacing w:val="14"/>
          <w:sz w:val="22"/>
        </w:rPr>
        <w:t xml:space="preserve"> </w:t>
      </w:r>
      <w:r>
        <w:rPr>
          <w:rFonts w:ascii="Times New Roman;Times;serif" w:hAnsi="Times New Roman;Times;serif"/>
          <w:sz w:val="22"/>
        </w:rPr>
        <w:t>of</w:t>
      </w:r>
      <w:r>
        <w:rPr>
          <w:rFonts w:ascii="Times New Roman;Times;serif" w:hAnsi="Times New Roman;Times;serif"/>
          <w:spacing w:val="14"/>
          <w:sz w:val="22"/>
        </w:rPr>
        <w:t xml:space="preserve"> </w:t>
      </w:r>
      <w:r>
        <w:rPr>
          <w:rFonts w:ascii="Times New Roman;Times;serif" w:hAnsi="Times New Roman;Times;serif"/>
          <w:sz w:val="22"/>
        </w:rPr>
        <w:t>Default,</w:t>
      </w:r>
      <w:r>
        <w:rPr>
          <w:rFonts w:ascii="Times New Roman;Times;serif" w:hAnsi="Times New Roman;Times;serif"/>
          <w:spacing w:val="14"/>
          <w:sz w:val="22"/>
        </w:rPr>
        <w:t xml:space="preserve"> </w:t>
      </w:r>
      <w:r>
        <w:rPr>
          <w:rFonts w:ascii="Times New Roman;Times;serif" w:hAnsi="Times New Roman;Times;serif"/>
          <w:sz w:val="22"/>
        </w:rPr>
        <w:t>nor</w:t>
      </w:r>
      <w:r>
        <w:rPr>
          <w:rFonts w:ascii="Times New Roman;Times;serif" w:hAnsi="Times New Roman;Times;serif"/>
          <w:spacing w:val="14"/>
          <w:sz w:val="22"/>
        </w:rPr>
        <w:t xml:space="preserve"> </w:t>
      </w:r>
      <w:r>
        <w:rPr>
          <w:rFonts w:ascii="Times New Roman;Times;serif" w:hAnsi="Times New Roman;Times;serif"/>
          <w:sz w:val="22"/>
        </w:rPr>
        <w:t>is</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Lender</w:t>
      </w:r>
      <w:r>
        <w:rPr>
          <w:rFonts w:ascii="Times New Roman;Times;serif" w:hAnsi="Times New Roman;Times;serif"/>
          <w:spacing w:val="14"/>
          <w:sz w:val="22"/>
        </w:rPr>
        <w:t xml:space="preserve"> </w:t>
      </w:r>
      <w:r>
        <w:rPr>
          <w:rFonts w:ascii="Times New Roman;Times;serif" w:hAnsi="Times New Roman;Times;serif"/>
          <w:sz w:val="22"/>
        </w:rPr>
        <w:t>waiving</w:t>
      </w:r>
      <w:r>
        <w:rPr>
          <w:rFonts w:ascii="Times New Roman;Times;serif" w:hAnsi="Times New Roman;Times;serif"/>
          <w:spacing w:val="14"/>
          <w:sz w:val="22"/>
        </w:rPr>
        <w:t xml:space="preserve"> </w:t>
      </w:r>
      <w:r>
        <w:rPr>
          <w:rFonts w:ascii="Times New Roman;Times;serif" w:hAnsi="Times New Roman;Times;serif"/>
          <w:sz w:val="22"/>
        </w:rPr>
        <w:t>any</w:t>
      </w:r>
      <w:r>
        <w:rPr>
          <w:rFonts w:ascii="Times New Roman;Times;serif" w:hAnsi="Times New Roman;Times;serif"/>
          <w:spacing w:val="14"/>
          <w:sz w:val="22"/>
        </w:rPr>
        <w:t xml:space="preserve"> </w:t>
      </w:r>
      <w:r>
        <w:rPr>
          <w:rFonts w:ascii="Times New Roman;Times;serif" w:hAnsi="Times New Roman;Times;serif"/>
          <w:sz w:val="22"/>
        </w:rPr>
        <w:t>of</w:t>
      </w:r>
      <w:r>
        <w:rPr>
          <w:rFonts w:ascii="Times New Roman;Times;serif" w:hAnsi="Times New Roman;Times;serif"/>
          <w:spacing w:val="14"/>
          <w:sz w:val="22"/>
        </w:rPr>
        <w:t xml:space="preserve"> </w:t>
      </w:r>
      <w:r>
        <w:rPr>
          <w:rFonts w:ascii="Times New Roman;Times;serif" w:hAnsi="Times New Roman;Times;serif"/>
          <w:sz w:val="22"/>
        </w:rPr>
        <w:t>its</w:t>
      </w:r>
      <w:r>
        <w:rPr>
          <w:rFonts w:ascii="Times New Roman;Times;serif" w:hAnsi="Times New Roman;Times;serif"/>
          <w:spacing w:val="14"/>
          <w:sz w:val="22"/>
        </w:rPr>
        <w:t xml:space="preserve"> </w:t>
      </w:r>
      <w:r>
        <w:rPr>
          <w:rFonts w:ascii="Times New Roman;Times;serif" w:hAnsi="Times New Roman;Times;serif"/>
          <w:sz w:val="22"/>
        </w:rPr>
        <w:t>rights</w:t>
      </w:r>
      <w:r>
        <w:rPr>
          <w:rFonts w:ascii="Times New Roman;Times;serif" w:hAnsi="Times New Roman;Times;serif"/>
          <w:spacing w:val="14"/>
          <w:sz w:val="22"/>
        </w:rPr>
        <w:t xml:space="preserve"> </w:t>
      </w:r>
      <w:r>
        <w:rPr>
          <w:rFonts w:ascii="Times New Roman;Times;serif" w:hAnsi="Times New Roman;Times;serif"/>
          <w:sz w:val="22"/>
        </w:rPr>
        <w:t>or</w:t>
      </w:r>
      <w:r>
        <w:rPr>
          <w:rFonts w:ascii="Times New Roman;Times;serif" w:hAnsi="Times New Roman;Times;serif"/>
          <w:spacing w:val="14"/>
          <w:sz w:val="22"/>
        </w:rPr>
        <w:t xml:space="preserve"> </w:t>
      </w:r>
      <w:r>
        <w:rPr>
          <w:rFonts w:ascii="Times New Roman;Times;serif" w:hAnsi="Times New Roman;Times;serif"/>
          <w:sz w:val="22"/>
        </w:rPr>
        <w:t>remedies</w:t>
      </w:r>
      <w:r>
        <w:rPr>
          <w:rFonts w:ascii="Times New Roman;Times;serif" w:hAnsi="Times New Roman;Times;serif"/>
          <w:spacing w:val="14"/>
          <w:sz w:val="22"/>
        </w:rPr>
        <w:t xml:space="preserve"> </w:t>
      </w:r>
      <w:r>
        <w:rPr>
          <w:rFonts w:ascii="Times New Roman;Times;serif" w:hAnsi="Times New Roman;Times;serif"/>
          <w:sz w:val="22"/>
        </w:rPr>
        <w:t>under</w:t>
      </w:r>
      <w:r>
        <w:rPr>
          <w:rFonts w:ascii="Times New Roman;Times;serif" w:hAnsi="Times New Roman;Times;serif"/>
          <w:spacing w:val="14"/>
          <w:sz w:val="22"/>
        </w:rPr>
        <w:t xml:space="preserve"> </w:t>
      </w:r>
      <w:r>
        <w:rPr>
          <w:rFonts w:ascii="Times New Roman;Times;serif" w:hAnsi="Times New Roman;Times;serif"/>
          <w:sz w:val="22"/>
        </w:rPr>
        <w:t>the</w:t>
      </w:r>
    </w:p>
    <w:p>
      <w:pPr>
        <w:pStyle w:val="TextBody"/>
        <w:pBdr/>
        <w:bidi w:val="0"/>
        <w:spacing w:before="240" w:after="283"/>
        <w:ind w:left="360" w:right="357" w:hanging="720"/>
        <w:jc w:val="both"/>
        <w:rPr/>
      </w:pPr>
      <w:r>
        <w:rPr/>
        <w:t>​</w:t>
      </w:r>
    </w:p>
    <w:p>
      <w:pPr>
        <w:pStyle w:val="TextBody"/>
        <w:bidi w:val="0"/>
        <w:spacing w:lineRule="auto" w:line="16"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3</w:t>
      </w:r>
    </w:p>
    <w:p>
      <w:pPr>
        <w:pStyle w:val="TextBody"/>
        <w:bidi w:val="0"/>
        <w:spacing w:lineRule="auto" w:line="16" w:before="13" w:after="0"/>
        <w:ind w:left="20" w:right="0" w:hanging="0"/>
        <w:jc w:val="left"/>
        <w:rPr>
          <w:rFonts w:ascii="Times New Roman;Times;serif" w:hAnsi="Times New Roman;Times;serif"/>
          <w:spacing w:val="-2"/>
          <w:sz w:val="16"/>
        </w:rPr>
      </w:pPr>
      <w:r>
        <w:rPr>
          <w:rFonts w:ascii="Times New Roman;Times;serif" w:hAnsi="Times New Roman;Times;serif"/>
          <w:spacing w:val="-2"/>
          <w:sz w:val="16"/>
        </w:rPr>
        <w:t>220514334</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80" w:after="0"/>
        <w:ind w:left="1080" w:right="357" w:hanging="0"/>
        <w:jc w:val="both"/>
        <w:rPr>
          <w:rFonts w:ascii="Times New Roman;Times;serif" w:hAnsi="Times New Roman;Times;serif"/>
          <w:sz w:val="22"/>
        </w:rPr>
      </w:pPr>
      <w:r>
        <w:rPr>
          <w:rFonts w:ascii="Times New Roman;Times;serif" w:hAnsi="Times New Roman;Times;serif"/>
          <w:sz w:val="22"/>
        </w:rPr>
        <w:t>Loan Documents. Nothing herein entitles any party to any future consent to any waiver or modification of any of the terms, conditions, obligations, covenants or agreements in the Loan Documents in similar or different circumstances. This Amendment supersedes any oral communications concerning the consents herein.</w:t>
      </w:r>
    </w:p>
    <w:p>
      <w:pPr>
        <w:pStyle w:val="TextBody"/>
        <w:bidi w:val="0"/>
        <w:spacing w:before="0" w:after="0"/>
        <w:ind w:left="359" w:right="355" w:hanging="0"/>
        <w:jc w:val="both"/>
        <w:rPr>
          <w:rFonts w:ascii="Times New Roman;Times;serif" w:hAnsi="Times New Roman;Times;serif"/>
          <w:sz w:val="22"/>
        </w:rPr>
      </w:pPr>
      <w:r>
        <w:rPr>
          <w:rFonts w:ascii="Times New Roman;Times;serif" w:hAnsi="Times New Roman;Times;serif"/>
          <w:sz w:val="22"/>
        </w:rPr>
        <w:t>8.</w:t>
      </w:r>
      <w:r>
        <w:rPr>
          <w:rFonts w:ascii="Times New Roman;Times;serif" w:hAnsi="Times New Roman;Times;serif"/>
          <w:sz w:val="22"/>
          <w:u w:val="single"/>
        </w:rPr>
        <w:t>No</w:t>
      </w:r>
      <w:r>
        <w:rPr>
          <w:rFonts w:ascii="Times New Roman;Times;serif" w:hAnsi="Times New Roman;Times;serif"/>
          <w:spacing w:val="-14"/>
          <w:sz w:val="22"/>
          <w:u w:val="single"/>
        </w:rPr>
        <w:t xml:space="preserve"> </w:t>
      </w:r>
      <w:r>
        <w:rPr>
          <w:rFonts w:ascii="Times New Roman;Times;serif" w:hAnsi="Times New Roman;Times;serif"/>
          <w:sz w:val="22"/>
          <w:u w:val="single"/>
        </w:rPr>
        <w:t>Setoff.</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Borrowers</w:t>
      </w:r>
      <w:r>
        <w:rPr>
          <w:rFonts w:ascii="Times New Roman;Times;serif" w:hAnsi="Times New Roman;Times;serif"/>
          <w:spacing w:val="-13"/>
          <w:sz w:val="22"/>
        </w:rPr>
        <w:t xml:space="preserve"> </w:t>
      </w:r>
      <w:r>
        <w:rPr>
          <w:rFonts w:ascii="Times New Roman;Times;serif" w:hAnsi="Times New Roman;Times;serif"/>
          <w:sz w:val="22"/>
        </w:rPr>
        <w:t>hereby</w:t>
      </w:r>
      <w:r>
        <w:rPr>
          <w:rFonts w:ascii="Times New Roman;Times;serif" w:hAnsi="Times New Roman;Times;serif"/>
          <w:spacing w:val="-14"/>
          <w:sz w:val="22"/>
        </w:rPr>
        <w:t xml:space="preserve"> </w:t>
      </w:r>
      <w:r>
        <w:rPr>
          <w:rFonts w:ascii="Times New Roman;Times;serif" w:hAnsi="Times New Roman;Times;serif"/>
          <w:sz w:val="22"/>
        </w:rPr>
        <w:t>acknowledge</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4"/>
          <w:sz w:val="22"/>
        </w:rPr>
        <w:t xml:space="preserve"> </w:t>
      </w:r>
      <w:r>
        <w:rPr>
          <w:rFonts w:ascii="Times New Roman;Times;serif" w:hAnsi="Times New Roman;Times;serif"/>
          <w:sz w:val="22"/>
        </w:rPr>
        <w:t>agree</w:t>
      </w:r>
      <w:r>
        <w:rPr>
          <w:rFonts w:ascii="Times New Roman;Times;serif" w:hAnsi="Times New Roman;Times;serif"/>
          <w:spacing w:val="-13"/>
          <w:sz w:val="22"/>
        </w:rPr>
        <w:t xml:space="preserve"> </w:t>
      </w:r>
      <w:r>
        <w:rPr>
          <w:rFonts w:ascii="Times New Roman;Times;serif" w:hAnsi="Times New Roman;Times;serif"/>
          <w:sz w:val="22"/>
        </w:rPr>
        <w:t>with</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Lender</w:t>
      </w:r>
      <w:r>
        <w:rPr>
          <w:rFonts w:ascii="Times New Roman;Times;serif" w:hAnsi="Times New Roman;Times;serif"/>
          <w:spacing w:val="-14"/>
          <w:sz w:val="22"/>
        </w:rPr>
        <w:t xml:space="preserve"> </w:t>
      </w:r>
      <w:r>
        <w:rPr>
          <w:rFonts w:ascii="Times New Roman;Times;serif" w:hAnsi="Times New Roman;Times;serif"/>
          <w:sz w:val="22"/>
        </w:rPr>
        <w:t>that</w:t>
      </w:r>
      <w:r>
        <w:rPr>
          <w:rFonts w:ascii="Times New Roman;Times;serif" w:hAnsi="Times New Roman;Times;serif"/>
          <w:spacing w:val="-13"/>
          <w:sz w:val="22"/>
        </w:rPr>
        <w:t xml:space="preserve"> </w:t>
      </w:r>
      <w:r>
        <w:rPr>
          <w:rFonts w:ascii="Times New Roman;Times;serif" w:hAnsi="Times New Roman;Times;serif"/>
          <w:sz w:val="22"/>
        </w:rPr>
        <w:t>no</w:t>
      </w:r>
      <w:r>
        <w:rPr>
          <w:rFonts w:ascii="Times New Roman;Times;serif" w:hAnsi="Times New Roman;Times;serif"/>
          <w:spacing w:val="-14"/>
          <w:sz w:val="22"/>
        </w:rPr>
        <w:t xml:space="preserve"> </w:t>
      </w:r>
      <w:r>
        <w:rPr>
          <w:rFonts w:ascii="Times New Roman;Times;serif" w:hAnsi="Times New Roman;Times;serif"/>
          <w:sz w:val="22"/>
        </w:rPr>
        <w:t>events,</w:t>
      </w:r>
      <w:r>
        <w:rPr>
          <w:rFonts w:ascii="Times New Roman;Times;serif" w:hAnsi="Times New Roman;Times;serif"/>
          <w:spacing w:val="-14"/>
          <w:sz w:val="22"/>
        </w:rPr>
        <w:t xml:space="preserve"> </w:t>
      </w:r>
      <w:r>
        <w:rPr>
          <w:rFonts w:ascii="Times New Roman;Times;serif" w:hAnsi="Times New Roman;Times;serif"/>
          <w:sz w:val="22"/>
        </w:rPr>
        <w:t>conditions or circumstances have arisen or exist as of the date hereof which would give the Borrowers the right to assert a defense, counterclaim and/or setoff any claim by the Lender for payment of amounts owing under the Loan Documents. Any defense, right of setoff or counterclaim which might otherwise be available to the Borrowers is hereby fully and finally waived and released in all respects.</w:t>
      </w:r>
    </w:p>
    <w:p>
      <w:pPr>
        <w:pStyle w:val="TextBody"/>
        <w:bidi w:val="0"/>
        <w:spacing w:before="240" w:after="0"/>
        <w:ind w:left="360" w:right="357" w:hanging="0"/>
        <w:jc w:val="both"/>
        <w:rPr>
          <w:rFonts w:ascii="Times New Roman;Times;serif" w:hAnsi="Times New Roman;Times;serif"/>
          <w:sz w:val="22"/>
        </w:rPr>
      </w:pPr>
      <w:r>
        <w:rPr>
          <w:rFonts w:ascii="Times New Roman;Times;serif" w:hAnsi="Times New Roman;Times;serif"/>
          <w:sz w:val="22"/>
        </w:rPr>
        <w:t>9.</w:t>
      </w:r>
      <w:r>
        <w:rPr>
          <w:rFonts w:ascii="Times New Roman;Times;serif" w:hAnsi="Times New Roman;Times;serif"/>
          <w:sz w:val="22"/>
          <w:u w:val="single"/>
        </w:rPr>
        <w:t>Governing</w:t>
      </w:r>
      <w:r>
        <w:rPr>
          <w:rFonts w:ascii="Times New Roman;Times;serif" w:hAnsi="Times New Roman;Times;serif"/>
          <w:spacing w:val="-7"/>
          <w:sz w:val="22"/>
          <w:u w:val="single"/>
        </w:rPr>
        <w:t xml:space="preserve"> </w:t>
      </w:r>
      <w:r>
        <w:rPr>
          <w:rFonts w:ascii="Times New Roman;Times;serif" w:hAnsi="Times New Roman;Times;serif"/>
          <w:sz w:val="22"/>
          <w:u w:val="single"/>
        </w:rPr>
        <w:t>Law.</w:t>
      </w:r>
      <w:r>
        <w:rPr>
          <w:rFonts w:ascii="Times New Roman;Times;serif" w:hAnsi="Times New Roman;Times;serif"/>
          <w:spacing w:val="-7"/>
          <w:sz w:val="22"/>
        </w:rPr>
        <w:t xml:space="preserve"> </w:t>
      </w:r>
      <w:r>
        <w:rPr>
          <w:rFonts w:ascii="Times New Roman;Times;serif" w:hAnsi="Times New Roman;Times;serif"/>
          <w:sz w:val="22"/>
        </w:rPr>
        <w:t>This</w:t>
      </w:r>
      <w:r>
        <w:rPr>
          <w:rFonts w:ascii="Times New Roman;Times;serif" w:hAnsi="Times New Roman;Times;serif"/>
          <w:spacing w:val="-7"/>
          <w:sz w:val="22"/>
        </w:rPr>
        <w:t xml:space="preserve"> </w:t>
      </w:r>
      <w:r>
        <w:rPr>
          <w:rFonts w:ascii="Times New Roman;Times;serif" w:hAnsi="Times New Roman;Times;serif"/>
          <w:sz w:val="22"/>
        </w:rPr>
        <w:t>Amendment</w:t>
      </w:r>
      <w:r>
        <w:rPr>
          <w:rFonts w:ascii="Times New Roman;Times;serif" w:hAnsi="Times New Roman;Times;serif"/>
          <w:spacing w:val="-7"/>
          <w:sz w:val="22"/>
        </w:rPr>
        <w:t xml:space="preserve"> </w:t>
      </w:r>
      <w:r>
        <w:rPr>
          <w:rFonts w:ascii="Times New Roman;Times;serif" w:hAnsi="Times New Roman;Times;serif"/>
          <w:sz w:val="22"/>
        </w:rPr>
        <w:t>shall</w:t>
      </w:r>
      <w:r>
        <w:rPr>
          <w:rFonts w:ascii="Times New Roman;Times;serif" w:hAnsi="Times New Roman;Times;serif"/>
          <w:spacing w:val="-8"/>
          <w:sz w:val="22"/>
        </w:rPr>
        <w:t xml:space="preserve"> </w:t>
      </w:r>
      <w:r>
        <w:rPr>
          <w:rFonts w:ascii="Times New Roman;Times;serif" w:hAnsi="Times New Roman;Times;serif"/>
          <w:sz w:val="22"/>
        </w:rPr>
        <w:t>be</w:t>
      </w:r>
      <w:r>
        <w:rPr>
          <w:rFonts w:ascii="Times New Roman;Times;serif" w:hAnsi="Times New Roman;Times;serif"/>
          <w:spacing w:val="-7"/>
          <w:sz w:val="22"/>
        </w:rPr>
        <w:t xml:space="preserve"> </w:t>
      </w:r>
      <w:r>
        <w:rPr>
          <w:rFonts w:ascii="Times New Roman;Times;serif" w:hAnsi="Times New Roman;Times;serif"/>
          <w:sz w:val="22"/>
        </w:rPr>
        <w:t>governed</w:t>
      </w:r>
      <w:r>
        <w:rPr>
          <w:rFonts w:ascii="Times New Roman;Times;serif" w:hAnsi="Times New Roman;Times;serif"/>
          <w:spacing w:val="-9"/>
          <w:sz w:val="22"/>
        </w:rPr>
        <w:t xml:space="preserve"> </w:t>
      </w:r>
      <w:r>
        <w:rPr>
          <w:rFonts w:ascii="Times New Roman;Times;serif" w:hAnsi="Times New Roman;Times;serif"/>
          <w:sz w:val="22"/>
        </w:rPr>
        <w:t>by</w:t>
      </w:r>
      <w:r>
        <w:rPr>
          <w:rFonts w:ascii="Times New Roman;Times;serif" w:hAnsi="Times New Roman;Times;serif"/>
          <w:spacing w:val="-7"/>
          <w:sz w:val="22"/>
        </w:rPr>
        <w:t xml:space="preserve"> </w:t>
      </w:r>
      <w:r>
        <w:rPr>
          <w:rFonts w:ascii="Times New Roman;Times;serif" w:hAnsi="Times New Roman;Times;serif"/>
          <w:sz w:val="22"/>
        </w:rPr>
        <w:t>and</w:t>
      </w:r>
      <w:r>
        <w:rPr>
          <w:rFonts w:ascii="Times New Roman;Times;serif" w:hAnsi="Times New Roman;Times;serif"/>
          <w:spacing w:val="-7"/>
          <w:sz w:val="22"/>
        </w:rPr>
        <w:t xml:space="preserve"> </w:t>
      </w:r>
      <w:r>
        <w:rPr>
          <w:rFonts w:ascii="Times New Roman;Times;serif" w:hAnsi="Times New Roman;Times;serif"/>
          <w:sz w:val="22"/>
        </w:rPr>
        <w:t>construed</w:t>
      </w:r>
      <w:r>
        <w:rPr>
          <w:rFonts w:ascii="Times New Roman;Times;serif" w:hAnsi="Times New Roman;Times;serif"/>
          <w:spacing w:val="-7"/>
          <w:sz w:val="22"/>
        </w:rPr>
        <w:t xml:space="preserve"> </w:t>
      </w:r>
      <w:r>
        <w:rPr>
          <w:rFonts w:ascii="Times New Roman;Times;serif" w:hAnsi="Times New Roman;Times;serif"/>
          <w:sz w:val="22"/>
        </w:rPr>
        <w:t>in</w:t>
      </w:r>
      <w:r>
        <w:rPr>
          <w:rFonts w:ascii="Times New Roman;Times;serif" w:hAnsi="Times New Roman;Times;serif"/>
          <w:spacing w:val="-7"/>
          <w:sz w:val="22"/>
        </w:rPr>
        <w:t xml:space="preserve"> </w:t>
      </w:r>
      <w:r>
        <w:rPr>
          <w:rFonts w:ascii="Times New Roman;Times;serif" w:hAnsi="Times New Roman;Times;serif"/>
          <w:sz w:val="22"/>
        </w:rPr>
        <w:t>accordance</w:t>
      </w:r>
      <w:r>
        <w:rPr>
          <w:rFonts w:ascii="Times New Roman;Times;serif" w:hAnsi="Times New Roman;Times;serif"/>
          <w:spacing w:val="-7"/>
          <w:sz w:val="22"/>
        </w:rPr>
        <w:t xml:space="preserve"> </w:t>
      </w:r>
      <w:r>
        <w:rPr>
          <w:rFonts w:ascii="Times New Roman;Times;serif" w:hAnsi="Times New Roman;Times;serif"/>
          <w:sz w:val="22"/>
        </w:rPr>
        <w:t>with</w:t>
      </w:r>
      <w:r>
        <w:rPr>
          <w:rFonts w:ascii="Times New Roman;Times;serif" w:hAnsi="Times New Roman;Times;serif"/>
          <w:spacing w:val="-7"/>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laws of the State of Minnesota without giving effect to the choice of law provisions thereof.</w:t>
      </w:r>
    </w:p>
    <w:p>
      <w:pPr>
        <w:pStyle w:val="TextBody"/>
        <w:bidi w:val="0"/>
        <w:spacing w:before="241" w:after="0"/>
        <w:ind w:left="360" w:right="358" w:hanging="0"/>
        <w:jc w:val="both"/>
        <w:rPr>
          <w:rFonts w:ascii="Times New Roman;Times;serif" w:hAnsi="Times New Roman;Times;serif"/>
          <w:sz w:val="22"/>
        </w:rPr>
      </w:pPr>
      <w:r>
        <w:rPr>
          <w:rFonts w:ascii="Times New Roman;Times;serif" w:hAnsi="Times New Roman;Times;serif"/>
          <w:sz w:val="22"/>
        </w:rPr>
        <w:t>10.</w:t>
      </w:r>
      <w:r>
        <w:rPr>
          <w:rFonts w:ascii="Times New Roman;Times;serif" w:hAnsi="Times New Roman;Times;serif"/>
          <w:sz w:val="22"/>
          <w:u w:val="single"/>
        </w:rPr>
        <w:t>Headings.</w:t>
      </w:r>
      <w:r>
        <w:rPr>
          <w:rFonts w:ascii="Times New Roman;Times;serif" w:hAnsi="Times New Roman;Times;serif"/>
          <w:sz w:val="22"/>
        </w:rPr>
        <w:t xml:space="preserve"> The descriptive headings for the several sections of this Amendment are inserted for convenience only and not to define or limit any of the terms or provisions hereof.</w:t>
      </w:r>
    </w:p>
    <w:p>
      <w:pPr>
        <w:pStyle w:val="TextBody"/>
        <w:bidi w:val="0"/>
        <w:spacing w:before="239" w:after="0"/>
        <w:ind w:left="359" w:right="356" w:hanging="0"/>
        <w:jc w:val="both"/>
        <w:rPr>
          <w:rFonts w:ascii="Times New Roman;Times;serif" w:hAnsi="Times New Roman;Times;serif"/>
          <w:sz w:val="22"/>
        </w:rPr>
      </w:pPr>
      <w:r>
        <w:rPr>
          <w:rFonts w:ascii="Times New Roman;Times;serif" w:hAnsi="Times New Roman;Times;serif"/>
          <w:sz w:val="22"/>
        </w:rPr>
        <w:t>11.</w:t>
      </w:r>
      <w:r>
        <w:rPr>
          <w:rFonts w:ascii="Times New Roman;Times;serif" w:hAnsi="Times New Roman;Times;serif"/>
          <w:sz w:val="22"/>
          <w:u w:val="single"/>
        </w:rPr>
        <w:t>Representations.</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Borrowers</w:t>
      </w:r>
      <w:r>
        <w:rPr>
          <w:rFonts w:ascii="Times New Roman;Times;serif" w:hAnsi="Times New Roman;Times;serif"/>
          <w:spacing w:val="-5"/>
          <w:sz w:val="22"/>
        </w:rPr>
        <w:t xml:space="preserve"> </w:t>
      </w:r>
      <w:r>
        <w:rPr>
          <w:rFonts w:ascii="Times New Roman;Times;serif" w:hAnsi="Times New Roman;Times;serif"/>
          <w:sz w:val="22"/>
        </w:rPr>
        <w:t>hereby</w:t>
      </w:r>
      <w:r>
        <w:rPr>
          <w:rFonts w:ascii="Times New Roman;Times;serif" w:hAnsi="Times New Roman;Times;serif"/>
          <w:spacing w:val="-5"/>
          <w:sz w:val="22"/>
        </w:rPr>
        <w:t xml:space="preserve"> </w:t>
      </w:r>
      <w:r>
        <w:rPr>
          <w:rFonts w:ascii="Times New Roman;Times;serif" w:hAnsi="Times New Roman;Times;serif"/>
          <w:sz w:val="22"/>
        </w:rPr>
        <w:t>warrant</w:t>
      </w:r>
      <w:r>
        <w:rPr>
          <w:rFonts w:ascii="Times New Roman;Times;serif" w:hAnsi="Times New Roman;Times;serif"/>
          <w:spacing w:val="-5"/>
          <w:sz w:val="22"/>
        </w:rPr>
        <w:t xml:space="preserve"> </w:t>
      </w:r>
      <w:r>
        <w:rPr>
          <w:rFonts w:ascii="Times New Roman;Times;serif" w:hAnsi="Times New Roman;Times;serif"/>
          <w:sz w:val="22"/>
        </w:rPr>
        <w:t>and</w:t>
      </w:r>
      <w:r>
        <w:rPr>
          <w:rFonts w:ascii="Times New Roman;Times;serif" w:hAnsi="Times New Roman;Times;serif"/>
          <w:spacing w:val="-5"/>
          <w:sz w:val="22"/>
        </w:rPr>
        <w:t xml:space="preserve"> </w:t>
      </w:r>
      <w:r>
        <w:rPr>
          <w:rFonts w:ascii="Times New Roman;Times;serif" w:hAnsi="Times New Roman;Times;serif"/>
          <w:sz w:val="22"/>
        </w:rPr>
        <w:t>represent</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Lender</w:t>
      </w:r>
      <w:r>
        <w:rPr>
          <w:rFonts w:ascii="Times New Roman;Times;serif" w:hAnsi="Times New Roman;Times;serif"/>
          <w:spacing w:val="-5"/>
          <w:sz w:val="22"/>
        </w:rPr>
        <w:t xml:space="preserve"> </w:t>
      </w:r>
      <w:r>
        <w:rPr>
          <w:rFonts w:ascii="Times New Roman;Times;serif" w:hAnsi="Times New Roman;Times;serif"/>
          <w:sz w:val="22"/>
        </w:rPr>
        <w:t>that</w:t>
      </w:r>
      <w:r>
        <w:rPr>
          <w:rFonts w:ascii="Times New Roman;Times;serif" w:hAnsi="Times New Roman;Times;serif"/>
          <w:spacing w:val="-5"/>
          <w:sz w:val="22"/>
        </w:rPr>
        <w:t xml:space="preserve"> </w:t>
      </w:r>
      <w:r>
        <w:rPr>
          <w:rFonts w:ascii="Times New Roman;Times;serif" w:hAnsi="Times New Roman;Times;serif"/>
          <w:sz w:val="22"/>
        </w:rPr>
        <w:t>(i)</w:t>
      </w:r>
      <w:r>
        <w:rPr>
          <w:rFonts w:ascii="Times New Roman;Times;serif" w:hAnsi="Times New Roman;Times;serif"/>
          <w:spacing w:val="-5"/>
          <w:sz w:val="22"/>
        </w:rPr>
        <w:t xml:space="preserve"> </w:t>
      </w:r>
      <w:r>
        <w:rPr>
          <w:rFonts w:ascii="Times New Roman;Times;serif" w:hAnsi="Times New Roman;Times;serif"/>
          <w:sz w:val="22"/>
        </w:rPr>
        <w:t>each</w:t>
      </w:r>
      <w:r>
        <w:rPr>
          <w:rFonts w:ascii="Times New Roman;Times;serif" w:hAnsi="Times New Roman;Times;serif"/>
          <w:spacing w:val="-5"/>
          <w:sz w:val="22"/>
        </w:rPr>
        <w:t xml:space="preserve"> </w:t>
      </w:r>
      <w:r>
        <w:rPr>
          <w:rFonts w:ascii="Times New Roman;Times;serif" w:hAnsi="Times New Roman;Times;serif"/>
          <w:sz w:val="22"/>
        </w:rPr>
        <w:t>and</w:t>
      </w:r>
      <w:r>
        <w:rPr>
          <w:rFonts w:ascii="Times New Roman;Times;serif" w:hAnsi="Times New Roman;Times;serif"/>
          <w:spacing w:val="-5"/>
          <w:sz w:val="22"/>
        </w:rPr>
        <w:t xml:space="preserve"> </w:t>
      </w:r>
      <w:r>
        <w:rPr>
          <w:rFonts w:ascii="Times New Roman;Times;serif" w:hAnsi="Times New Roman;Times;serif"/>
          <w:sz w:val="22"/>
        </w:rPr>
        <w:t>all</w:t>
      </w:r>
      <w:r>
        <w:rPr>
          <w:rFonts w:ascii="Times New Roman;Times;serif" w:hAnsi="Times New Roman;Times;serif"/>
          <w:spacing w:val="-5"/>
          <w:sz w:val="22"/>
        </w:rPr>
        <w:t xml:space="preserve"> </w:t>
      </w:r>
      <w:r>
        <w:rPr>
          <w:rFonts w:ascii="Times New Roman;Times;serif" w:hAnsi="Times New Roman;Times;serif"/>
          <w:sz w:val="22"/>
        </w:rPr>
        <w:t>of the</w:t>
      </w:r>
      <w:r>
        <w:rPr>
          <w:rFonts w:ascii="Times New Roman;Times;serif" w:hAnsi="Times New Roman;Times;serif"/>
          <w:spacing w:val="-2"/>
          <w:sz w:val="22"/>
        </w:rPr>
        <w:t xml:space="preserve"> </w:t>
      </w:r>
      <w:r>
        <w:rPr>
          <w:rFonts w:ascii="Times New Roman;Times;serif" w:hAnsi="Times New Roman;Times;serif"/>
          <w:sz w:val="22"/>
        </w:rPr>
        <w:t>representations</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warranties</w:t>
      </w:r>
      <w:r>
        <w:rPr>
          <w:rFonts w:ascii="Times New Roman;Times;serif" w:hAnsi="Times New Roman;Times;serif"/>
          <w:spacing w:val="-2"/>
          <w:sz w:val="22"/>
        </w:rPr>
        <w:t xml:space="preserve"> </w:t>
      </w:r>
      <w:r>
        <w:rPr>
          <w:rFonts w:ascii="Times New Roman;Times;serif" w:hAnsi="Times New Roman;Times;serif"/>
          <w:sz w:val="22"/>
        </w:rPr>
        <w:t>set</w:t>
      </w:r>
      <w:r>
        <w:rPr>
          <w:rFonts w:ascii="Times New Roman;Times;serif" w:hAnsi="Times New Roman;Times;serif"/>
          <w:spacing w:val="-1"/>
          <w:sz w:val="22"/>
        </w:rPr>
        <w:t xml:space="preserve"> </w:t>
      </w:r>
      <w:r>
        <w:rPr>
          <w:rFonts w:ascii="Times New Roman;Times;serif" w:hAnsi="Times New Roman;Times;serif"/>
          <w:sz w:val="22"/>
        </w:rPr>
        <w:t>forth</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contained</w:t>
      </w:r>
      <w:r>
        <w:rPr>
          <w:rFonts w:ascii="Times New Roman;Times;serif" w:hAnsi="Times New Roman;Times;serif"/>
          <w:spacing w:val="-2"/>
          <w:sz w:val="22"/>
        </w:rPr>
        <w:t xml:space="preserve"> </w:t>
      </w:r>
      <w:r>
        <w:rPr>
          <w:rFonts w:ascii="Times New Roman;Times;serif" w:hAnsi="Times New Roman;Times;serif"/>
          <w:sz w:val="22"/>
        </w:rPr>
        <w:t>in</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Loan</w:t>
      </w:r>
      <w:r>
        <w:rPr>
          <w:rFonts w:ascii="Times New Roman;Times;serif" w:hAnsi="Times New Roman;Times;serif"/>
          <w:spacing w:val="-2"/>
          <w:sz w:val="22"/>
        </w:rPr>
        <w:t xml:space="preserve"> </w:t>
      </w:r>
      <w:r>
        <w:rPr>
          <w:rFonts w:ascii="Times New Roman;Times;serif" w:hAnsi="Times New Roman;Times;serif"/>
          <w:sz w:val="22"/>
        </w:rPr>
        <w:t>Documents</w:t>
      </w:r>
      <w:r>
        <w:rPr>
          <w:rFonts w:ascii="Times New Roman;Times;serif" w:hAnsi="Times New Roman;Times;serif"/>
          <w:spacing w:val="-2"/>
          <w:sz w:val="22"/>
        </w:rPr>
        <w:t xml:space="preserve"> </w:t>
      </w:r>
      <w:r>
        <w:rPr>
          <w:rFonts w:ascii="Times New Roman;Times;serif" w:hAnsi="Times New Roman;Times;serif"/>
          <w:sz w:val="22"/>
        </w:rPr>
        <w:t>are</w:t>
      </w:r>
      <w:r>
        <w:rPr>
          <w:rFonts w:ascii="Times New Roman;Times;serif" w:hAnsi="Times New Roman;Times;serif"/>
          <w:spacing w:val="-2"/>
          <w:sz w:val="22"/>
        </w:rPr>
        <w:t xml:space="preserve"> </w:t>
      </w:r>
      <w:r>
        <w:rPr>
          <w:rFonts w:ascii="Times New Roman;Times;serif" w:hAnsi="Times New Roman;Times;serif"/>
          <w:sz w:val="22"/>
        </w:rPr>
        <w:t>true,</w:t>
      </w:r>
      <w:r>
        <w:rPr>
          <w:rFonts w:ascii="Times New Roman;Times;serif" w:hAnsi="Times New Roman;Times;serif"/>
          <w:spacing w:val="-1"/>
          <w:sz w:val="22"/>
        </w:rPr>
        <w:t xml:space="preserve"> </w:t>
      </w:r>
      <w:r>
        <w:rPr>
          <w:rFonts w:ascii="Times New Roman;Times;serif" w:hAnsi="Times New Roman;Times;serif"/>
          <w:sz w:val="22"/>
        </w:rPr>
        <w:t>correct and complete in all respects as of the date hereof except to the extent such representations and warranties</w:t>
      </w:r>
      <w:r>
        <w:rPr>
          <w:rFonts w:ascii="Times New Roman;Times;serif" w:hAnsi="Times New Roman;Times;serif"/>
          <w:spacing w:val="-16"/>
          <w:sz w:val="22"/>
        </w:rPr>
        <w:t xml:space="preserve"> </w:t>
      </w:r>
      <w:r>
        <w:rPr>
          <w:rFonts w:ascii="Times New Roman;Times;serif" w:hAnsi="Times New Roman;Times;serif"/>
          <w:sz w:val="22"/>
        </w:rPr>
        <w:t>are</w:t>
      </w:r>
      <w:r>
        <w:rPr>
          <w:rFonts w:ascii="Times New Roman;Times;serif" w:hAnsi="Times New Roman;Times;serif"/>
          <w:spacing w:val="-14"/>
          <w:sz w:val="22"/>
        </w:rPr>
        <w:t xml:space="preserve"> </w:t>
      </w:r>
      <w:r>
        <w:rPr>
          <w:rFonts w:ascii="Times New Roman;Times;serif" w:hAnsi="Times New Roman;Times;serif"/>
          <w:sz w:val="22"/>
        </w:rPr>
        <w:t>no</w:t>
      </w:r>
      <w:r>
        <w:rPr>
          <w:rFonts w:ascii="Times New Roman;Times;serif" w:hAnsi="Times New Roman;Times;serif"/>
          <w:spacing w:val="-14"/>
          <w:sz w:val="22"/>
        </w:rPr>
        <w:t xml:space="preserve"> </w:t>
      </w:r>
      <w:r>
        <w:rPr>
          <w:rFonts w:ascii="Times New Roman;Times;serif" w:hAnsi="Times New Roman;Times;serif"/>
          <w:sz w:val="22"/>
        </w:rPr>
        <w:t>longer</w:t>
      </w:r>
      <w:r>
        <w:rPr>
          <w:rFonts w:ascii="Times New Roman;Times;serif" w:hAnsi="Times New Roman;Times;serif"/>
          <w:spacing w:val="-13"/>
          <w:sz w:val="22"/>
        </w:rPr>
        <w:t xml:space="preserve"> </w:t>
      </w:r>
      <w:r>
        <w:rPr>
          <w:rFonts w:ascii="Times New Roman;Times;serif" w:hAnsi="Times New Roman;Times;serif"/>
          <w:sz w:val="22"/>
        </w:rPr>
        <w:t>applicable;</w:t>
      </w:r>
      <w:r>
        <w:rPr>
          <w:rFonts w:ascii="Times New Roman;Times;serif" w:hAnsi="Times New Roman;Times;serif"/>
          <w:spacing w:val="-14"/>
          <w:sz w:val="22"/>
        </w:rPr>
        <w:t xml:space="preserve"> </w:t>
      </w:r>
      <w:r>
        <w:rPr>
          <w:rFonts w:ascii="Times New Roman;Times;serif" w:hAnsi="Times New Roman;Times;serif"/>
          <w:sz w:val="22"/>
        </w:rPr>
        <w:t>(ii)</w:t>
      </w:r>
      <w:r>
        <w:rPr>
          <w:rFonts w:ascii="Times New Roman;Times;serif" w:hAnsi="Times New Roman;Times;serif"/>
          <w:spacing w:val="-14"/>
          <w:sz w:val="22"/>
        </w:rPr>
        <w:t xml:space="preserve"> </w:t>
      </w:r>
      <w:r>
        <w:rPr>
          <w:rFonts w:ascii="Times New Roman;Times;serif" w:hAnsi="Times New Roman;Times;serif"/>
          <w:sz w:val="22"/>
        </w:rPr>
        <w:t>no</w:t>
      </w:r>
      <w:r>
        <w:rPr>
          <w:rFonts w:ascii="Times New Roman;Times;serif" w:hAnsi="Times New Roman;Times;serif"/>
          <w:spacing w:val="-14"/>
          <w:sz w:val="22"/>
        </w:rPr>
        <w:t xml:space="preserve"> </w:t>
      </w:r>
      <w:r>
        <w:rPr>
          <w:rFonts w:ascii="Times New Roman;Times;serif" w:hAnsi="Times New Roman;Times;serif"/>
          <w:sz w:val="22"/>
        </w:rPr>
        <w:t>Default</w:t>
      </w:r>
      <w:r>
        <w:rPr>
          <w:rFonts w:ascii="Times New Roman;Times;serif" w:hAnsi="Times New Roman;Times;serif"/>
          <w:spacing w:val="-13"/>
          <w:sz w:val="22"/>
        </w:rPr>
        <w:t xml:space="preserve"> </w:t>
      </w:r>
      <w:r>
        <w:rPr>
          <w:rFonts w:ascii="Times New Roman;Times;serif" w:hAnsi="Times New Roman;Times;serif"/>
          <w:sz w:val="22"/>
        </w:rPr>
        <w:t>or</w:t>
      </w:r>
      <w:r>
        <w:rPr>
          <w:rFonts w:ascii="Times New Roman;Times;serif" w:hAnsi="Times New Roman;Times;serif"/>
          <w:spacing w:val="-14"/>
          <w:sz w:val="22"/>
        </w:rPr>
        <w:t xml:space="preserve"> </w:t>
      </w:r>
      <w:r>
        <w:rPr>
          <w:rFonts w:ascii="Times New Roman;Times;serif" w:hAnsi="Times New Roman;Times;serif"/>
          <w:sz w:val="22"/>
        </w:rPr>
        <w:t>Event</w:t>
      </w:r>
      <w:r>
        <w:rPr>
          <w:rFonts w:ascii="Times New Roman;Times;serif" w:hAnsi="Times New Roman;Times;serif"/>
          <w:spacing w:val="-14"/>
          <w:sz w:val="22"/>
        </w:rPr>
        <w:t xml:space="preserve"> </w:t>
      </w:r>
      <w:r>
        <w:rPr>
          <w:rFonts w:ascii="Times New Roman;Times;serif" w:hAnsi="Times New Roman;Times;serif"/>
          <w:sz w:val="22"/>
        </w:rPr>
        <w:t>of</w:t>
      </w:r>
      <w:r>
        <w:rPr>
          <w:rFonts w:ascii="Times New Roman;Times;serif" w:hAnsi="Times New Roman;Times;serif"/>
          <w:spacing w:val="-14"/>
          <w:sz w:val="22"/>
        </w:rPr>
        <w:t xml:space="preserve"> </w:t>
      </w:r>
      <w:r>
        <w:rPr>
          <w:rFonts w:ascii="Times New Roman;Times;serif" w:hAnsi="Times New Roman;Times;serif"/>
          <w:sz w:val="22"/>
        </w:rPr>
        <w:t>Default</w:t>
      </w:r>
      <w:r>
        <w:rPr>
          <w:rFonts w:ascii="Times New Roman;Times;serif" w:hAnsi="Times New Roman;Times;serif"/>
          <w:spacing w:val="-13"/>
          <w:sz w:val="22"/>
        </w:rPr>
        <w:t xml:space="preserve"> </w:t>
      </w:r>
      <w:r>
        <w:rPr>
          <w:rFonts w:ascii="Times New Roman;Times;serif" w:hAnsi="Times New Roman;Times;serif"/>
          <w:sz w:val="22"/>
        </w:rPr>
        <w:t>has</w:t>
      </w:r>
      <w:r>
        <w:rPr>
          <w:rFonts w:ascii="Times New Roman;Times;serif" w:hAnsi="Times New Roman;Times;serif"/>
          <w:spacing w:val="-14"/>
          <w:sz w:val="22"/>
        </w:rPr>
        <w:t xml:space="preserve"> </w:t>
      </w:r>
      <w:r>
        <w:rPr>
          <w:rFonts w:ascii="Times New Roman;Times;serif" w:hAnsi="Times New Roman;Times;serif"/>
          <w:sz w:val="22"/>
        </w:rPr>
        <w:t>occurred</w:t>
      </w:r>
      <w:r>
        <w:rPr>
          <w:rFonts w:ascii="Times New Roman;Times;serif" w:hAnsi="Times New Roman;Times;serif"/>
          <w:spacing w:val="-14"/>
          <w:sz w:val="22"/>
        </w:rPr>
        <w:t xml:space="preserve"> </w:t>
      </w:r>
      <w:r>
        <w:rPr>
          <w:rFonts w:ascii="Times New Roman;Times;serif" w:hAnsi="Times New Roman;Times;serif"/>
          <w:sz w:val="22"/>
        </w:rPr>
        <w:t>or</w:t>
      </w:r>
      <w:r>
        <w:rPr>
          <w:rFonts w:ascii="Times New Roman;Times;serif" w:hAnsi="Times New Roman;Times;serif"/>
          <w:spacing w:val="-14"/>
          <w:sz w:val="22"/>
        </w:rPr>
        <w:t xml:space="preserve"> </w:t>
      </w:r>
      <w:r>
        <w:rPr>
          <w:rFonts w:ascii="Times New Roman;Times;serif" w:hAnsi="Times New Roman;Times;serif"/>
          <w:sz w:val="22"/>
        </w:rPr>
        <w:t>is</w:t>
      </w:r>
      <w:r>
        <w:rPr>
          <w:rFonts w:ascii="Times New Roman;Times;serif" w:hAnsi="Times New Roman;Times;serif"/>
          <w:spacing w:val="-13"/>
          <w:sz w:val="22"/>
        </w:rPr>
        <w:t xml:space="preserve"> </w:t>
      </w:r>
      <w:r>
        <w:rPr>
          <w:rFonts w:ascii="Times New Roman;Times;serif" w:hAnsi="Times New Roman;Times;serif"/>
          <w:sz w:val="22"/>
        </w:rPr>
        <w:t>continuing as</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date</w:t>
      </w:r>
      <w:r>
        <w:rPr>
          <w:rFonts w:ascii="Times New Roman;Times;serif" w:hAnsi="Times New Roman;Times;serif"/>
          <w:spacing w:val="-9"/>
          <w:sz w:val="22"/>
        </w:rPr>
        <w:t xml:space="preserve"> </w:t>
      </w:r>
      <w:r>
        <w:rPr>
          <w:rFonts w:ascii="Times New Roman;Times;serif" w:hAnsi="Times New Roman;Times;serif"/>
          <w:sz w:val="22"/>
        </w:rPr>
        <w:t>hereof;</w:t>
      </w:r>
      <w:r>
        <w:rPr>
          <w:rFonts w:ascii="Times New Roman;Times;serif" w:hAnsi="Times New Roman;Times;serif"/>
          <w:spacing w:val="-8"/>
          <w:sz w:val="22"/>
        </w:rPr>
        <w:t xml:space="preserve"> </w:t>
      </w:r>
      <w:r>
        <w:rPr>
          <w:rFonts w:ascii="Times New Roman;Times;serif" w:hAnsi="Times New Roman;Times;serif"/>
          <w:sz w:val="22"/>
        </w:rPr>
        <w:t>(iii)</w:t>
      </w:r>
      <w:r>
        <w:rPr>
          <w:rFonts w:ascii="Times New Roman;Times;serif" w:hAnsi="Times New Roman;Times;serif"/>
          <w:spacing w:val="-8"/>
          <w:sz w:val="22"/>
        </w:rPr>
        <w:t xml:space="preserve"> </w:t>
      </w:r>
      <w:r>
        <w:rPr>
          <w:rFonts w:ascii="Times New Roman;Times;serif" w:hAnsi="Times New Roman;Times;serif"/>
          <w:sz w:val="22"/>
        </w:rPr>
        <w:t>each</w:t>
      </w:r>
      <w:r>
        <w:rPr>
          <w:rFonts w:ascii="Times New Roman;Times;serif" w:hAnsi="Times New Roman;Times;serif"/>
          <w:spacing w:val="-8"/>
          <w:sz w:val="22"/>
        </w:rPr>
        <w:t xml:space="preserve"> </w:t>
      </w:r>
      <w:r>
        <w:rPr>
          <w:rFonts w:ascii="Times New Roman;Times;serif" w:hAnsi="Times New Roman;Times;serif"/>
          <w:sz w:val="22"/>
        </w:rPr>
        <w:t>has</w:t>
      </w:r>
      <w:r>
        <w:rPr>
          <w:rFonts w:ascii="Times New Roman;Times;serif" w:hAnsi="Times New Roman;Times;serif"/>
          <w:spacing w:val="-8"/>
          <w:sz w:val="22"/>
        </w:rPr>
        <w:t xml:space="preserve"> </w:t>
      </w:r>
      <w:r>
        <w:rPr>
          <w:rFonts w:ascii="Times New Roman;Times;serif" w:hAnsi="Times New Roman;Times;serif"/>
          <w:sz w:val="22"/>
        </w:rPr>
        <w:t>full</w:t>
      </w:r>
      <w:r>
        <w:rPr>
          <w:rFonts w:ascii="Times New Roman;Times;serif" w:hAnsi="Times New Roman;Times;serif"/>
          <w:spacing w:val="-9"/>
          <w:sz w:val="22"/>
        </w:rPr>
        <w:t xml:space="preserve"> </w:t>
      </w:r>
      <w:r>
        <w:rPr>
          <w:rFonts w:ascii="Times New Roman;Times;serif" w:hAnsi="Times New Roman;Times;serif"/>
          <w:sz w:val="22"/>
        </w:rPr>
        <w:t>power</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8"/>
          <w:sz w:val="22"/>
        </w:rPr>
        <w:t xml:space="preserve"> </w:t>
      </w:r>
      <w:r>
        <w:rPr>
          <w:rFonts w:ascii="Times New Roman;Times;serif" w:hAnsi="Times New Roman;Times;serif"/>
          <w:sz w:val="22"/>
        </w:rPr>
        <w:t>authority</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8"/>
          <w:sz w:val="22"/>
        </w:rPr>
        <w:t xml:space="preserve"> </w:t>
      </w:r>
      <w:r>
        <w:rPr>
          <w:rFonts w:ascii="Times New Roman;Times;serif" w:hAnsi="Times New Roman;Times;serif"/>
          <w:sz w:val="22"/>
        </w:rPr>
        <w:t>execute</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deliver</w:t>
      </w:r>
      <w:r>
        <w:rPr>
          <w:rFonts w:ascii="Times New Roman;Times;serif" w:hAnsi="Times New Roman;Times;serif"/>
          <w:spacing w:val="-8"/>
          <w:sz w:val="22"/>
        </w:rPr>
        <w:t xml:space="preserve"> </w:t>
      </w:r>
      <w:r>
        <w:rPr>
          <w:rFonts w:ascii="Times New Roman;Times;serif" w:hAnsi="Times New Roman;Times;serif"/>
          <w:sz w:val="22"/>
        </w:rPr>
        <w:t>this</w:t>
      </w:r>
      <w:r>
        <w:rPr>
          <w:rFonts w:ascii="Times New Roman;Times;serif" w:hAnsi="Times New Roman;Times;serif"/>
          <w:spacing w:val="-8"/>
          <w:sz w:val="22"/>
        </w:rPr>
        <w:t xml:space="preserve"> </w:t>
      </w:r>
      <w:r>
        <w:rPr>
          <w:rFonts w:ascii="Times New Roman;Times;serif" w:hAnsi="Times New Roman;Times;serif"/>
          <w:sz w:val="22"/>
        </w:rPr>
        <w:t>Amendment and the documents related hereto, and that this Amendment and all the documents related hereto constitute the legal, valid and binding obligations of said party, enforceable in accordance with their respective terms; and (iv) each has fully considered the terms of this Amendment and the documents related hereto and have had the opportunity to discuss this Amendment and the documents related hereto with its legal counsel, and is executing this Amendment and the documents hereto without any coercion or duress on the part of the Lender.</w:t>
      </w:r>
    </w:p>
    <w:p>
      <w:pPr>
        <w:pStyle w:val="TextBody"/>
        <w:bidi w:val="0"/>
        <w:spacing w:before="240" w:after="0"/>
        <w:ind w:left="359" w:right="358" w:hanging="0"/>
        <w:jc w:val="both"/>
        <w:rPr>
          <w:rFonts w:ascii="Times New Roman;Times;serif" w:hAnsi="Times New Roman;Times;serif"/>
          <w:sz w:val="22"/>
        </w:rPr>
      </w:pPr>
      <w:r>
        <w:rPr>
          <w:rFonts w:ascii="Times New Roman;Times;serif" w:hAnsi="Times New Roman;Times;serif"/>
          <w:sz w:val="22"/>
        </w:rPr>
        <w:t>12.</w:t>
      </w:r>
      <w:r>
        <w:rPr>
          <w:rFonts w:ascii="Times New Roman;Times;serif" w:hAnsi="Times New Roman;Times;serif"/>
          <w:sz w:val="22"/>
          <w:u w:val="single"/>
        </w:rPr>
        <w:t>Further Assurances.</w:t>
      </w:r>
      <w:r>
        <w:rPr>
          <w:rFonts w:ascii="Times New Roman;Times;serif" w:hAnsi="Times New Roman;Times;serif"/>
          <w:sz w:val="22"/>
        </w:rPr>
        <w:t xml:space="preserve"> The Borrowers hereby agree to execute and deliver such other further agreements,</w:t>
      </w:r>
      <w:r>
        <w:rPr>
          <w:rFonts w:ascii="Times New Roman;Times;serif" w:hAnsi="Times New Roman;Times;serif"/>
          <w:spacing w:val="-12"/>
          <w:sz w:val="22"/>
        </w:rPr>
        <w:t xml:space="preserve"> </w:t>
      </w:r>
      <w:r>
        <w:rPr>
          <w:rFonts w:ascii="Times New Roman;Times;serif" w:hAnsi="Times New Roman;Times;serif"/>
          <w:sz w:val="22"/>
        </w:rPr>
        <w:t>documents</w:t>
      </w:r>
      <w:r>
        <w:rPr>
          <w:rFonts w:ascii="Times New Roman;Times;serif" w:hAnsi="Times New Roman;Times;serif"/>
          <w:spacing w:val="-12"/>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instruments</w:t>
      </w:r>
      <w:r>
        <w:rPr>
          <w:rFonts w:ascii="Times New Roman;Times;serif" w:hAnsi="Times New Roman;Times;serif"/>
          <w:spacing w:val="-12"/>
          <w:sz w:val="22"/>
        </w:rPr>
        <w:t xml:space="preserve"> </w:t>
      </w:r>
      <w:r>
        <w:rPr>
          <w:rFonts w:ascii="Times New Roman;Times;serif" w:hAnsi="Times New Roman;Times;serif"/>
          <w:sz w:val="22"/>
        </w:rPr>
        <w:t>as</w:t>
      </w:r>
      <w:r>
        <w:rPr>
          <w:rFonts w:ascii="Times New Roman;Times;serif" w:hAnsi="Times New Roman;Times;serif"/>
          <w:spacing w:val="-12"/>
          <w:sz w:val="22"/>
        </w:rPr>
        <w:t xml:space="preserve"> </w:t>
      </w:r>
      <w:r>
        <w:rPr>
          <w:rFonts w:ascii="Times New Roman;Times;serif" w:hAnsi="Times New Roman;Times;serif"/>
          <w:sz w:val="22"/>
        </w:rPr>
        <w:t>is</w:t>
      </w:r>
      <w:r>
        <w:rPr>
          <w:rFonts w:ascii="Times New Roman;Times;serif" w:hAnsi="Times New Roman;Times;serif"/>
          <w:spacing w:val="-12"/>
          <w:sz w:val="22"/>
        </w:rPr>
        <w:t xml:space="preserve"> </w:t>
      </w:r>
      <w:r>
        <w:rPr>
          <w:rFonts w:ascii="Times New Roman;Times;serif" w:hAnsi="Times New Roman;Times;serif"/>
          <w:sz w:val="22"/>
        </w:rPr>
        <w:t>deemed</w:t>
      </w:r>
      <w:r>
        <w:rPr>
          <w:rFonts w:ascii="Times New Roman;Times;serif" w:hAnsi="Times New Roman;Times;serif"/>
          <w:spacing w:val="-12"/>
          <w:sz w:val="22"/>
        </w:rPr>
        <w:t xml:space="preserve"> </w:t>
      </w:r>
      <w:r>
        <w:rPr>
          <w:rFonts w:ascii="Times New Roman;Times;serif" w:hAnsi="Times New Roman;Times;serif"/>
          <w:sz w:val="22"/>
        </w:rPr>
        <w:t>necessary</w:t>
      </w:r>
      <w:r>
        <w:rPr>
          <w:rFonts w:ascii="Times New Roman;Times;serif" w:hAnsi="Times New Roman;Times;serif"/>
          <w:spacing w:val="-12"/>
          <w:sz w:val="22"/>
        </w:rPr>
        <w:t xml:space="preserve"> </w:t>
      </w:r>
      <w:r>
        <w:rPr>
          <w:rFonts w:ascii="Times New Roman;Times;serif" w:hAnsi="Times New Roman;Times;serif"/>
          <w:sz w:val="22"/>
        </w:rPr>
        <w:t>or</w:t>
      </w:r>
      <w:r>
        <w:rPr>
          <w:rFonts w:ascii="Times New Roman;Times;serif" w:hAnsi="Times New Roman;Times;serif"/>
          <w:spacing w:val="-12"/>
          <w:sz w:val="22"/>
        </w:rPr>
        <w:t xml:space="preserve"> </w:t>
      </w:r>
      <w:r>
        <w:rPr>
          <w:rFonts w:ascii="Times New Roman;Times;serif" w:hAnsi="Times New Roman;Times;serif"/>
          <w:sz w:val="22"/>
        </w:rPr>
        <w:t>advisable</w:t>
      </w:r>
      <w:r>
        <w:rPr>
          <w:rFonts w:ascii="Times New Roman;Times;serif" w:hAnsi="Times New Roman;Times;serif"/>
          <w:spacing w:val="-11"/>
          <w:sz w:val="22"/>
        </w:rPr>
        <w:t xml:space="preserve"> </w:t>
      </w:r>
      <w:r>
        <w:rPr>
          <w:rFonts w:ascii="Times New Roman;Times;serif" w:hAnsi="Times New Roman;Times;serif"/>
          <w:sz w:val="22"/>
        </w:rPr>
        <w:t>by</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Lender</w:t>
      </w:r>
      <w:r>
        <w:rPr>
          <w:rFonts w:ascii="Times New Roman;Times;serif" w:hAnsi="Times New Roman;Times;serif"/>
          <w:spacing w:val="-12"/>
          <w:sz w:val="22"/>
        </w:rPr>
        <w:t xml:space="preserve"> </w:t>
      </w:r>
      <w:r>
        <w:rPr>
          <w:rFonts w:ascii="Times New Roman;Times;serif" w:hAnsi="Times New Roman;Times;serif"/>
          <w:sz w:val="22"/>
        </w:rPr>
        <w:t>in</w:t>
      </w:r>
      <w:r>
        <w:rPr>
          <w:rFonts w:ascii="Times New Roman;Times;serif" w:hAnsi="Times New Roman;Times;serif"/>
          <w:spacing w:val="-12"/>
          <w:sz w:val="22"/>
        </w:rPr>
        <w:t xml:space="preserve"> </w:t>
      </w:r>
      <w:r>
        <w:rPr>
          <w:rFonts w:ascii="Times New Roman;Times;serif" w:hAnsi="Times New Roman;Times;serif"/>
          <w:sz w:val="22"/>
        </w:rPr>
        <w:t>order to effectuate the purposes of this Amendment.</w:t>
      </w:r>
    </w:p>
    <w:p>
      <w:pPr>
        <w:pStyle w:val="TextBody"/>
        <w:bidi w:val="0"/>
        <w:spacing w:before="241" w:after="0"/>
        <w:ind w:left="360" w:right="357" w:hanging="0"/>
        <w:jc w:val="both"/>
        <w:rPr>
          <w:rFonts w:ascii="Times New Roman;Times;serif" w:hAnsi="Times New Roman;Times;serif"/>
          <w:sz w:val="22"/>
        </w:rPr>
      </w:pPr>
      <w:r>
        <w:rPr>
          <w:rFonts w:ascii="Times New Roman;Times;serif" w:hAnsi="Times New Roman;Times;serif"/>
          <w:sz w:val="22"/>
        </w:rPr>
        <w:t>13.</w:t>
      </w:r>
      <w:r>
        <w:rPr>
          <w:rFonts w:ascii="Times New Roman;Times;serif" w:hAnsi="Times New Roman;Times;serif"/>
          <w:sz w:val="22"/>
          <w:u w:val="single"/>
        </w:rPr>
        <w:t>Release.</w:t>
      </w:r>
      <w:r>
        <w:rPr>
          <w:rFonts w:ascii="Times New Roman;Times;serif" w:hAnsi="Times New Roman;Times;serif"/>
          <w:sz w:val="22"/>
        </w:rPr>
        <w:t xml:space="preserve"> The Borrowers hereby release the Lender and each of its officers, directors, employees, legal</w:t>
      </w:r>
      <w:r>
        <w:rPr>
          <w:rFonts w:ascii="Times New Roman;Times;serif" w:hAnsi="Times New Roman;Times;serif"/>
          <w:spacing w:val="-14"/>
          <w:sz w:val="22"/>
        </w:rPr>
        <w:t xml:space="preserve"> </w:t>
      </w:r>
      <w:r>
        <w:rPr>
          <w:rFonts w:ascii="Times New Roman;Times;serif" w:hAnsi="Times New Roman;Times;serif"/>
          <w:sz w:val="22"/>
        </w:rPr>
        <w:t>counsel</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4"/>
          <w:sz w:val="22"/>
        </w:rPr>
        <w:t xml:space="preserve"> </w:t>
      </w:r>
      <w:r>
        <w:rPr>
          <w:rFonts w:ascii="Times New Roman;Times;serif" w:hAnsi="Times New Roman;Times;serif"/>
          <w:sz w:val="22"/>
        </w:rPr>
        <w:t>other</w:t>
      </w:r>
      <w:r>
        <w:rPr>
          <w:rFonts w:ascii="Times New Roman;Times;serif" w:hAnsi="Times New Roman;Times;serif"/>
          <w:spacing w:val="-13"/>
          <w:sz w:val="22"/>
        </w:rPr>
        <w:t xml:space="preserve"> </w:t>
      </w:r>
      <w:r>
        <w:rPr>
          <w:rFonts w:ascii="Times New Roman;Times;serif" w:hAnsi="Times New Roman;Times;serif"/>
          <w:sz w:val="22"/>
        </w:rPr>
        <w:t>representatives</w:t>
      </w:r>
      <w:r>
        <w:rPr>
          <w:rFonts w:ascii="Times New Roman;Times;serif" w:hAnsi="Times New Roman;Times;serif"/>
          <w:spacing w:val="-14"/>
          <w:sz w:val="22"/>
        </w:rPr>
        <w:t xml:space="preserve"> </w:t>
      </w:r>
      <w:r>
        <w:rPr>
          <w:rFonts w:ascii="Times New Roman;Times;serif" w:hAnsi="Times New Roman;Times;serif"/>
          <w:sz w:val="22"/>
        </w:rPr>
        <w:t>from</w:t>
      </w:r>
      <w:r>
        <w:rPr>
          <w:rFonts w:ascii="Times New Roman;Times;serif" w:hAnsi="Times New Roman;Times;serif"/>
          <w:spacing w:val="-14"/>
          <w:sz w:val="22"/>
        </w:rPr>
        <w:t xml:space="preserve"> </w:t>
      </w:r>
      <w:r>
        <w:rPr>
          <w:rFonts w:ascii="Times New Roman;Times;serif" w:hAnsi="Times New Roman;Times;serif"/>
          <w:sz w:val="22"/>
        </w:rPr>
        <w:t>any</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3"/>
          <w:sz w:val="22"/>
        </w:rPr>
        <w:t xml:space="preserve"> </w:t>
      </w:r>
      <w:r>
        <w:rPr>
          <w:rFonts w:ascii="Times New Roman;Times;serif" w:hAnsi="Times New Roman;Times;serif"/>
          <w:sz w:val="22"/>
        </w:rPr>
        <w:t>all</w:t>
      </w:r>
      <w:r>
        <w:rPr>
          <w:rFonts w:ascii="Times New Roman;Times;serif" w:hAnsi="Times New Roman;Times;serif"/>
          <w:spacing w:val="-14"/>
          <w:sz w:val="22"/>
        </w:rPr>
        <w:t xml:space="preserve"> </w:t>
      </w:r>
      <w:r>
        <w:rPr>
          <w:rFonts w:ascii="Times New Roman;Times;serif" w:hAnsi="Times New Roman;Times;serif"/>
          <w:sz w:val="22"/>
        </w:rPr>
        <w:t>claims,</w:t>
      </w:r>
      <w:r>
        <w:rPr>
          <w:rFonts w:ascii="Times New Roman;Times;serif" w:hAnsi="Times New Roman;Times;serif"/>
          <w:spacing w:val="-14"/>
          <w:sz w:val="22"/>
        </w:rPr>
        <w:t xml:space="preserve"> </w:t>
      </w:r>
      <w:r>
        <w:rPr>
          <w:rFonts w:ascii="Times New Roman;Times;serif" w:hAnsi="Times New Roman;Times;serif"/>
          <w:sz w:val="22"/>
        </w:rPr>
        <w:t>demands,</w:t>
      </w:r>
      <w:r>
        <w:rPr>
          <w:rFonts w:ascii="Times New Roman;Times;serif" w:hAnsi="Times New Roman;Times;serif"/>
          <w:spacing w:val="-14"/>
          <w:sz w:val="22"/>
        </w:rPr>
        <w:t xml:space="preserve"> </w:t>
      </w:r>
      <w:r>
        <w:rPr>
          <w:rFonts w:ascii="Times New Roman;Times;serif" w:hAnsi="Times New Roman;Times;serif"/>
          <w:sz w:val="22"/>
        </w:rPr>
        <w:t>causes</w:t>
      </w:r>
      <w:r>
        <w:rPr>
          <w:rFonts w:ascii="Times New Roman;Times;serif" w:hAnsi="Times New Roman;Times;serif"/>
          <w:spacing w:val="-13"/>
          <w:sz w:val="22"/>
        </w:rPr>
        <w:t xml:space="preserve"> </w:t>
      </w:r>
      <w:r>
        <w:rPr>
          <w:rFonts w:ascii="Times New Roman;Times;serif" w:hAnsi="Times New Roman;Times;serif"/>
          <w:sz w:val="22"/>
        </w:rPr>
        <w:t>of</w:t>
      </w:r>
      <w:r>
        <w:rPr>
          <w:rFonts w:ascii="Times New Roman;Times;serif" w:hAnsi="Times New Roman;Times;serif"/>
          <w:spacing w:val="-14"/>
          <w:sz w:val="22"/>
        </w:rPr>
        <w:t xml:space="preserve"> </w:t>
      </w:r>
      <w:r>
        <w:rPr>
          <w:rFonts w:ascii="Times New Roman;Times;serif" w:hAnsi="Times New Roman;Times;serif"/>
          <w:sz w:val="22"/>
        </w:rPr>
        <w:t>action,</w:t>
      </w:r>
      <w:r>
        <w:rPr>
          <w:rFonts w:ascii="Times New Roman;Times;serif" w:hAnsi="Times New Roman;Times;serif"/>
          <w:spacing w:val="-14"/>
          <w:sz w:val="22"/>
        </w:rPr>
        <w:t xml:space="preserve"> </w:t>
      </w:r>
      <w:r>
        <w:rPr>
          <w:rFonts w:ascii="Times New Roman;Times;serif" w:hAnsi="Times New Roman;Times;serif"/>
          <w:sz w:val="22"/>
        </w:rPr>
        <w:t>liability, damage, loss, costs and expenses which it has paid, incurred or sustained or believed that it has paid,</w:t>
      </w:r>
      <w:r>
        <w:rPr>
          <w:rFonts w:ascii="Times New Roman;Times;serif" w:hAnsi="Times New Roman;Times;serif"/>
          <w:spacing w:val="-5"/>
          <w:sz w:val="22"/>
        </w:rPr>
        <w:t xml:space="preserve"> </w:t>
      </w:r>
      <w:r>
        <w:rPr>
          <w:rFonts w:ascii="Times New Roman;Times;serif" w:hAnsi="Times New Roman;Times;serif"/>
          <w:sz w:val="22"/>
        </w:rPr>
        <w:t>incurred</w:t>
      </w:r>
      <w:r>
        <w:rPr>
          <w:rFonts w:ascii="Times New Roman;Times;serif" w:hAnsi="Times New Roman;Times;serif"/>
          <w:spacing w:val="-6"/>
          <w:sz w:val="22"/>
        </w:rPr>
        <w:t xml:space="preserve"> </w:t>
      </w:r>
      <w:r>
        <w:rPr>
          <w:rFonts w:ascii="Times New Roman;Times;serif" w:hAnsi="Times New Roman;Times;serif"/>
          <w:sz w:val="22"/>
        </w:rPr>
        <w:t>or</w:t>
      </w:r>
      <w:r>
        <w:rPr>
          <w:rFonts w:ascii="Times New Roman;Times;serif" w:hAnsi="Times New Roman;Times;serif"/>
          <w:spacing w:val="-5"/>
          <w:sz w:val="22"/>
        </w:rPr>
        <w:t xml:space="preserve"> </w:t>
      </w:r>
      <w:r>
        <w:rPr>
          <w:rFonts w:ascii="Times New Roman;Times;serif" w:hAnsi="Times New Roman;Times;serif"/>
          <w:sz w:val="22"/>
        </w:rPr>
        <w:t>sustained,</w:t>
      </w:r>
      <w:r>
        <w:rPr>
          <w:rFonts w:ascii="Times New Roman;Times;serif" w:hAnsi="Times New Roman;Times;serif"/>
          <w:spacing w:val="-6"/>
          <w:sz w:val="22"/>
        </w:rPr>
        <w:t xml:space="preserve"> </w:t>
      </w:r>
      <w:r>
        <w:rPr>
          <w:rFonts w:ascii="Times New Roman;Times;serif" w:hAnsi="Times New Roman;Times;serif"/>
          <w:sz w:val="22"/>
        </w:rPr>
        <w:t>known</w:t>
      </w:r>
      <w:r>
        <w:rPr>
          <w:rFonts w:ascii="Times New Roman;Times;serif" w:hAnsi="Times New Roman;Times;serif"/>
          <w:spacing w:val="-6"/>
          <w:sz w:val="22"/>
        </w:rPr>
        <w:t xml:space="preserve"> </w:t>
      </w:r>
      <w:r>
        <w:rPr>
          <w:rFonts w:ascii="Times New Roman;Times;serif" w:hAnsi="Times New Roman;Times;serif"/>
          <w:sz w:val="22"/>
        </w:rPr>
        <w:t>or</w:t>
      </w:r>
      <w:r>
        <w:rPr>
          <w:rFonts w:ascii="Times New Roman;Times;serif" w:hAnsi="Times New Roman;Times;serif"/>
          <w:spacing w:val="-5"/>
          <w:sz w:val="22"/>
        </w:rPr>
        <w:t xml:space="preserve"> </w:t>
      </w:r>
      <w:r>
        <w:rPr>
          <w:rFonts w:ascii="Times New Roman;Times;serif" w:hAnsi="Times New Roman;Times;serif"/>
          <w:sz w:val="22"/>
        </w:rPr>
        <w:t>unknown,</w:t>
      </w:r>
      <w:r>
        <w:rPr>
          <w:rFonts w:ascii="Times New Roman;Times;serif" w:hAnsi="Times New Roman;Times;serif"/>
          <w:spacing w:val="-5"/>
          <w:sz w:val="22"/>
        </w:rPr>
        <w:t xml:space="preserve"> </w:t>
      </w:r>
      <w:r>
        <w:rPr>
          <w:rFonts w:ascii="Times New Roman;Times;serif" w:hAnsi="Times New Roman;Times;serif"/>
          <w:sz w:val="22"/>
        </w:rPr>
        <w:t>absolute</w:t>
      </w:r>
      <w:r>
        <w:rPr>
          <w:rFonts w:ascii="Times New Roman;Times;serif" w:hAnsi="Times New Roman;Times;serif"/>
          <w:spacing w:val="-5"/>
          <w:sz w:val="22"/>
        </w:rPr>
        <w:t xml:space="preserve"> </w:t>
      </w:r>
      <w:r>
        <w:rPr>
          <w:rFonts w:ascii="Times New Roman;Times;serif" w:hAnsi="Times New Roman;Times;serif"/>
          <w:sz w:val="22"/>
        </w:rPr>
        <w:t>or</w:t>
      </w:r>
      <w:r>
        <w:rPr>
          <w:rFonts w:ascii="Times New Roman;Times;serif" w:hAnsi="Times New Roman;Times;serif"/>
          <w:spacing w:val="-5"/>
          <w:sz w:val="22"/>
        </w:rPr>
        <w:t xml:space="preserve"> </w:t>
      </w:r>
      <w:r>
        <w:rPr>
          <w:rFonts w:ascii="Times New Roman;Times;serif" w:hAnsi="Times New Roman;Times;serif"/>
          <w:sz w:val="22"/>
        </w:rPr>
        <w:t>contingent,</w:t>
      </w:r>
      <w:r>
        <w:rPr>
          <w:rFonts w:ascii="Times New Roman;Times;serif" w:hAnsi="Times New Roman;Times;serif"/>
          <w:spacing w:val="-5"/>
          <w:sz w:val="22"/>
        </w:rPr>
        <w:t xml:space="preserve"> </w:t>
      </w:r>
      <w:r>
        <w:rPr>
          <w:rFonts w:ascii="Times New Roman;Times;serif" w:hAnsi="Times New Roman;Times;serif"/>
          <w:sz w:val="22"/>
        </w:rPr>
        <w:t>liquidated</w:t>
      </w:r>
      <w:r>
        <w:rPr>
          <w:rFonts w:ascii="Times New Roman;Times;serif" w:hAnsi="Times New Roman;Times;serif"/>
          <w:spacing w:val="-6"/>
          <w:sz w:val="22"/>
        </w:rPr>
        <w:t xml:space="preserve"> </w:t>
      </w:r>
      <w:r>
        <w:rPr>
          <w:rFonts w:ascii="Times New Roman;Times;serif" w:hAnsi="Times New Roman;Times;serif"/>
          <w:sz w:val="22"/>
        </w:rPr>
        <w:t>or</w:t>
      </w:r>
      <w:r>
        <w:rPr>
          <w:rFonts w:ascii="Times New Roman;Times;serif" w:hAnsi="Times New Roman;Times;serif"/>
          <w:spacing w:val="-5"/>
          <w:sz w:val="22"/>
        </w:rPr>
        <w:t xml:space="preserve"> </w:t>
      </w:r>
      <w:r>
        <w:rPr>
          <w:rFonts w:ascii="Times New Roman;Times;serif" w:hAnsi="Times New Roman;Times;serif"/>
          <w:sz w:val="22"/>
        </w:rPr>
        <w:t>unliquidated, as a result of or related to (i) the transactions evidenced by</w:t>
      </w:r>
      <w:r>
        <w:rPr>
          <w:rFonts w:ascii="Times New Roman;Times;serif" w:hAnsi="Times New Roman;Times;serif"/>
          <w:spacing w:val="-1"/>
          <w:sz w:val="22"/>
        </w:rPr>
        <w:t xml:space="preserve"> </w:t>
      </w:r>
      <w:r>
        <w:rPr>
          <w:rFonts w:ascii="Times New Roman;Times;serif" w:hAnsi="Times New Roman;Times;serif"/>
          <w:sz w:val="22"/>
        </w:rPr>
        <w:t>or related to the Loans (and each other loan</w:t>
      </w:r>
      <w:r>
        <w:rPr>
          <w:rFonts w:ascii="Times New Roman;Times;serif" w:hAnsi="Times New Roman;Times;serif"/>
          <w:spacing w:val="-6"/>
          <w:sz w:val="22"/>
        </w:rPr>
        <w:t xml:space="preserve"> </w:t>
      </w:r>
      <w:r>
        <w:rPr>
          <w:rFonts w:ascii="Times New Roman;Times;serif" w:hAnsi="Times New Roman;Times;serif"/>
          <w:sz w:val="22"/>
        </w:rPr>
        <w:t>originally</w:t>
      </w:r>
      <w:r>
        <w:rPr>
          <w:rFonts w:ascii="Times New Roman;Times;serif" w:hAnsi="Times New Roman;Times;serif"/>
          <w:spacing w:val="-5"/>
          <w:sz w:val="22"/>
        </w:rPr>
        <w:t xml:space="preserve"> </w:t>
      </w:r>
      <w:r>
        <w:rPr>
          <w:rFonts w:ascii="Times New Roman;Times;serif" w:hAnsi="Times New Roman;Times;serif"/>
          <w:sz w:val="22"/>
        </w:rPr>
        <w:t>made</w:t>
      </w:r>
      <w:r>
        <w:rPr>
          <w:rFonts w:ascii="Times New Roman;Times;serif" w:hAnsi="Times New Roman;Times;serif"/>
          <w:spacing w:val="-6"/>
          <w:sz w:val="22"/>
        </w:rPr>
        <w:t xml:space="preserve"> </w:t>
      </w:r>
      <w:r>
        <w:rPr>
          <w:rFonts w:ascii="Times New Roman;Times;serif" w:hAnsi="Times New Roman;Times;serif"/>
          <w:sz w:val="22"/>
        </w:rPr>
        <w:t>under</w:t>
      </w:r>
      <w:r>
        <w:rPr>
          <w:rFonts w:ascii="Times New Roman;Times;serif" w:hAnsi="Times New Roman;Times;serif"/>
          <w:spacing w:val="-7"/>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Credit</w:t>
      </w:r>
      <w:r>
        <w:rPr>
          <w:rFonts w:ascii="Times New Roman;Times;serif" w:hAnsi="Times New Roman;Times;serif"/>
          <w:spacing w:val="-6"/>
          <w:sz w:val="22"/>
        </w:rPr>
        <w:t xml:space="preserve"> </w:t>
      </w:r>
      <w:r>
        <w:rPr>
          <w:rFonts w:ascii="Times New Roman;Times;serif" w:hAnsi="Times New Roman;Times;serif"/>
          <w:sz w:val="22"/>
        </w:rPr>
        <w:t>Agreement),</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Loan</w:t>
      </w:r>
      <w:r>
        <w:rPr>
          <w:rFonts w:ascii="Times New Roman;Times;serif" w:hAnsi="Times New Roman;Times;serif"/>
          <w:spacing w:val="-6"/>
          <w:sz w:val="22"/>
        </w:rPr>
        <w:t xml:space="preserve"> </w:t>
      </w:r>
      <w:r>
        <w:rPr>
          <w:rFonts w:ascii="Times New Roman;Times;serif" w:hAnsi="Times New Roman;Times;serif"/>
          <w:sz w:val="22"/>
        </w:rPr>
        <w:t>Documents,</w:t>
      </w:r>
      <w:r>
        <w:rPr>
          <w:rFonts w:ascii="Times New Roman;Times;serif" w:hAnsi="Times New Roman;Times;serif"/>
          <w:spacing w:val="-6"/>
          <w:sz w:val="22"/>
        </w:rPr>
        <w:t xml:space="preserve"> </w:t>
      </w:r>
      <w:r>
        <w:rPr>
          <w:rFonts w:ascii="Times New Roman;Times;serif" w:hAnsi="Times New Roman;Times;serif"/>
          <w:sz w:val="22"/>
        </w:rPr>
        <w:t>this</w:t>
      </w:r>
      <w:r>
        <w:rPr>
          <w:rFonts w:ascii="Times New Roman;Times;serif" w:hAnsi="Times New Roman;Times;serif"/>
          <w:spacing w:val="-6"/>
          <w:sz w:val="22"/>
        </w:rPr>
        <w:t xml:space="preserve"> </w:t>
      </w:r>
      <w:r>
        <w:rPr>
          <w:rFonts w:ascii="Times New Roman;Times;serif" w:hAnsi="Times New Roman;Times;serif"/>
          <w:sz w:val="22"/>
        </w:rPr>
        <w:t>Amendment,</w:t>
      </w:r>
      <w:r>
        <w:rPr>
          <w:rFonts w:ascii="Times New Roman;Times;serif" w:hAnsi="Times New Roman;Times;serif"/>
          <w:spacing w:val="-6"/>
          <w:sz w:val="22"/>
        </w:rPr>
        <w:t xml:space="preserve"> </w:t>
      </w:r>
      <w:r>
        <w:rPr>
          <w:rFonts w:ascii="Times New Roman;Times;serif" w:hAnsi="Times New Roman;Times;serif"/>
          <w:sz w:val="22"/>
        </w:rPr>
        <w:t>(ii)</w:t>
      </w:r>
      <w:r>
        <w:rPr>
          <w:rFonts w:ascii="Times New Roman;Times;serif" w:hAnsi="Times New Roman;Times;serif"/>
          <w:spacing w:val="-6"/>
          <w:sz w:val="22"/>
        </w:rPr>
        <w:t xml:space="preserve"> </w:t>
      </w:r>
      <w:r>
        <w:rPr>
          <w:rFonts w:ascii="Times New Roman;Times;serif" w:hAnsi="Times New Roman;Times;serif"/>
          <w:sz w:val="22"/>
        </w:rPr>
        <w:t>any acts</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omissions</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Lender</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any</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its</w:t>
      </w:r>
      <w:r>
        <w:rPr>
          <w:rFonts w:ascii="Times New Roman;Times;serif" w:hAnsi="Times New Roman;Times;serif"/>
          <w:spacing w:val="-2"/>
          <w:sz w:val="22"/>
        </w:rPr>
        <w:t xml:space="preserve"> </w:t>
      </w:r>
      <w:r>
        <w:rPr>
          <w:rFonts w:ascii="Times New Roman;Times;serif" w:hAnsi="Times New Roman;Times;serif"/>
          <w:sz w:val="22"/>
        </w:rPr>
        <w:t>officers,</w:t>
      </w:r>
      <w:r>
        <w:rPr>
          <w:rFonts w:ascii="Times New Roman;Times;serif" w:hAnsi="Times New Roman;Times;serif"/>
          <w:spacing w:val="-2"/>
          <w:sz w:val="22"/>
        </w:rPr>
        <w:t xml:space="preserve"> </w:t>
      </w:r>
      <w:r>
        <w:rPr>
          <w:rFonts w:ascii="Times New Roman;Times;serif" w:hAnsi="Times New Roman;Times;serif"/>
          <w:sz w:val="22"/>
        </w:rPr>
        <w:t>directors,</w:t>
      </w:r>
      <w:r>
        <w:rPr>
          <w:rFonts w:ascii="Times New Roman;Times;serif" w:hAnsi="Times New Roman;Times;serif"/>
          <w:spacing w:val="-2"/>
          <w:sz w:val="22"/>
        </w:rPr>
        <w:t xml:space="preserve"> </w:t>
      </w:r>
      <w:r>
        <w:rPr>
          <w:rFonts w:ascii="Times New Roman;Times;serif" w:hAnsi="Times New Roman;Times;serif"/>
          <w:sz w:val="22"/>
        </w:rPr>
        <w:t>agents</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employees</w:t>
      </w:r>
      <w:r>
        <w:rPr>
          <w:rFonts w:ascii="Times New Roman;Times;serif" w:hAnsi="Times New Roman;Times;serif"/>
          <w:spacing w:val="-2"/>
          <w:sz w:val="22"/>
        </w:rPr>
        <w:t xml:space="preserve"> </w:t>
      </w:r>
      <w:r>
        <w:rPr>
          <w:rFonts w:ascii="Times New Roman;Times;serif" w:hAnsi="Times New Roman;Times;serif"/>
          <w:sz w:val="22"/>
        </w:rPr>
        <w:t>in</w:t>
      </w:r>
      <w:r>
        <w:rPr>
          <w:rFonts w:ascii="Times New Roman;Times;serif" w:hAnsi="Times New Roman;Times;serif"/>
          <w:spacing w:val="-2"/>
          <w:sz w:val="22"/>
        </w:rPr>
        <w:t xml:space="preserve"> </w:t>
      </w:r>
      <w:r>
        <w:rPr>
          <w:rFonts w:ascii="Times New Roman;Times;serif" w:hAnsi="Times New Roman;Times;serif"/>
          <w:sz w:val="22"/>
        </w:rPr>
        <w:t>connection therewith or related thereto, or (iii) the extension or denial of credit.</w:t>
      </w:r>
    </w:p>
    <w:p>
      <w:pPr>
        <w:pStyle w:val="TextBody"/>
        <w:bidi w:val="0"/>
        <w:spacing w:before="239" w:after="283"/>
        <w:ind w:left="359" w:right="357" w:hanging="0"/>
        <w:jc w:val="both"/>
        <w:rPr>
          <w:rFonts w:ascii="Times New Roman;Times;serif" w:hAnsi="Times New Roman;Times;serif"/>
          <w:sz w:val="22"/>
        </w:rPr>
      </w:pPr>
      <w:r>
        <w:rPr>
          <w:rFonts w:ascii="Times New Roman;Times;serif" w:hAnsi="Times New Roman;Times;serif"/>
          <w:sz w:val="22"/>
        </w:rPr>
        <w:t>14.</w:t>
      </w:r>
      <w:r>
        <w:rPr>
          <w:rFonts w:ascii="Times New Roman;Times;serif" w:hAnsi="Times New Roman;Times;serif"/>
          <w:sz w:val="22"/>
          <w:u w:val="single"/>
        </w:rPr>
        <w:t>Merger.</w:t>
      </w:r>
      <w:r>
        <w:rPr>
          <w:rFonts w:ascii="Times New Roman;Times;serif" w:hAnsi="Times New Roman;Times;serif"/>
          <w:spacing w:val="-14"/>
          <w:sz w:val="22"/>
        </w:rPr>
        <w:t xml:space="preserve"> </w:t>
      </w:r>
      <w:r>
        <w:rPr>
          <w:rFonts w:ascii="Times New Roman;Times;serif" w:hAnsi="Times New Roman;Times;serif"/>
          <w:sz w:val="22"/>
        </w:rPr>
        <w:t>All</w:t>
      </w:r>
      <w:r>
        <w:rPr>
          <w:rFonts w:ascii="Times New Roman;Times;serif" w:hAnsi="Times New Roman;Times;serif"/>
          <w:spacing w:val="-14"/>
          <w:sz w:val="22"/>
        </w:rPr>
        <w:t xml:space="preserve"> </w:t>
      </w:r>
      <w:r>
        <w:rPr>
          <w:rFonts w:ascii="Times New Roman;Times;serif" w:hAnsi="Times New Roman;Times;serif"/>
          <w:sz w:val="22"/>
        </w:rPr>
        <w:t>prior</w:t>
      </w:r>
      <w:r>
        <w:rPr>
          <w:rFonts w:ascii="Times New Roman;Times;serif" w:hAnsi="Times New Roman;Times;serif"/>
          <w:spacing w:val="-14"/>
          <w:sz w:val="22"/>
        </w:rPr>
        <w:t xml:space="preserve"> </w:t>
      </w:r>
      <w:r>
        <w:rPr>
          <w:rFonts w:ascii="Times New Roman;Times;serif" w:hAnsi="Times New Roman;Times;serif"/>
          <w:sz w:val="22"/>
        </w:rPr>
        <w:t>oral</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4"/>
          <w:sz w:val="22"/>
        </w:rPr>
        <w:t xml:space="preserve"> </w:t>
      </w:r>
      <w:r>
        <w:rPr>
          <w:rFonts w:ascii="Times New Roman;Times;serif" w:hAnsi="Times New Roman;Times;serif"/>
          <w:sz w:val="22"/>
        </w:rPr>
        <w:t>written</w:t>
      </w:r>
      <w:r>
        <w:rPr>
          <w:rFonts w:ascii="Times New Roman;Times;serif" w:hAnsi="Times New Roman;Times;serif"/>
          <w:spacing w:val="-14"/>
          <w:sz w:val="22"/>
        </w:rPr>
        <w:t xml:space="preserve"> </w:t>
      </w:r>
      <w:r>
        <w:rPr>
          <w:rFonts w:ascii="Times New Roman;Times;serif" w:hAnsi="Times New Roman;Times;serif"/>
          <w:sz w:val="22"/>
        </w:rPr>
        <w:t>communications,</w:t>
      </w:r>
      <w:r>
        <w:rPr>
          <w:rFonts w:ascii="Times New Roman;Times;serif" w:hAnsi="Times New Roman;Times;serif"/>
          <w:spacing w:val="-14"/>
          <w:sz w:val="22"/>
        </w:rPr>
        <w:t xml:space="preserve"> </w:t>
      </w:r>
      <w:r>
        <w:rPr>
          <w:rFonts w:ascii="Times New Roman;Times;serif" w:hAnsi="Times New Roman;Times;serif"/>
          <w:sz w:val="22"/>
        </w:rPr>
        <w:t>commitments,</w:t>
      </w:r>
      <w:r>
        <w:rPr>
          <w:rFonts w:ascii="Times New Roman;Times;serif" w:hAnsi="Times New Roman;Times;serif"/>
          <w:spacing w:val="-13"/>
          <w:sz w:val="22"/>
        </w:rPr>
        <w:t xml:space="preserve"> </w:t>
      </w:r>
      <w:r>
        <w:rPr>
          <w:rFonts w:ascii="Times New Roman;Times;serif" w:hAnsi="Times New Roman;Times;serif"/>
          <w:sz w:val="22"/>
        </w:rPr>
        <w:t>alleged</w:t>
      </w:r>
      <w:r>
        <w:rPr>
          <w:rFonts w:ascii="Times New Roman;Times;serif" w:hAnsi="Times New Roman;Times;serif"/>
          <w:spacing w:val="-14"/>
          <w:sz w:val="22"/>
        </w:rPr>
        <w:t xml:space="preserve"> </w:t>
      </w:r>
      <w:r>
        <w:rPr>
          <w:rFonts w:ascii="Times New Roman;Times;serif" w:hAnsi="Times New Roman;Times;serif"/>
          <w:sz w:val="22"/>
        </w:rPr>
        <w:t>commitments,</w:t>
      </w:r>
      <w:r>
        <w:rPr>
          <w:rFonts w:ascii="Times New Roman;Times;serif" w:hAnsi="Times New Roman;Times;serif"/>
          <w:spacing w:val="-14"/>
          <w:sz w:val="22"/>
        </w:rPr>
        <w:t xml:space="preserve"> </w:t>
      </w:r>
      <w:r>
        <w:rPr>
          <w:rFonts w:ascii="Times New Roman;Times;serif" w:hAnsi="Times New Roman;Times;serif"/>
          <w:sz w:val="22"/>
        </w:rPr>
        <w:t>promises, alleged</w:t>
      </w:r>
      <w:r>
        <w:rPr>
          <w:rFonts w:ascii="Times New Roman;Times;serif" w:hAnsi="Times New Roman;Times;serif"/>
          <w:spacing w:val="-12"/>
          <w:sz w:val="22"/>
        </w:rPr>
        <w:t xml:space="preserve"> </w:t>
      </w:r>
      <w:r>
        <w:rPr>
          <w:rFonts w:ascii="Times New Roman;Times;serif" w:hAnsi="Times New Roman;Times;serif"/>
          <w:sz w:val="22"/>
        </w:rPr>
        <w:t>promises,</w:t>
      </w:r>
      <w:r>
        <w:rPr>
          <w:rFonts w:ascii="Times New Roman;Times;serif" w:hAnsi="Times New Roman;Times;serif"/>
          <w:spacing w:val="-12"/>
          <w:sz w:val="22"/>
        </w:rPr>
        <w:t xml:space="preserve"> </w:t>
      </w:r>
      <w:r>
        <w:rPr>
          <w:rFonts w:ascii="Times New Roman;Times;serif" w:hAnsi="Times New Roman;Times;serif"/>
          <w:sz w:val="22"/>
        </w:rPr>
        <w:t>agreements,</w:t>
      </w:r>
      <w:r>
        <w:rPr>
          <w:rFonts w:ascii="Times New Roman;Times;serif" w:hAnsi="Times New Roman;Times;serif"/>
          <w:spacing w:val="-12"/>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alleged</w:t>
      </w:r>
      <w:r>
        <w:rPr>
          <w:rFonts w:ascii="Times New Roman;Times;serif" w:hAnsi="Times New Roman;Times;serif"/>
          <w:spacing w:val="-12"/>
          <w:sz w:val="22"/>
        </w:rPr>
        <w:t xml:space="preserve"> </w:t>
      </w:r>
      <w:r>
        <w:rPr>
          <w:rFonts w:ascii="Times New Roman;Times;serif" w:hAnsi="Times New Roman;Times;serif"/>
          <w:sz w:val="22"/>
        </w:rPr>
        <w:t>agreements</w:t>
      </w:r>
      <w:r>
        <w:rPr>
          <w:rFonts w:ascii="Times New Roman;Times;serif" w:hAnsi="Times New Roman;Times;serif"/>
          <w:spacing w:val="-12"/>
          <w:sz w:val="22"/>
        </w:rPr>
        <w:t xml:space="preserve"> </w:t>
      </w:r>
      <w:r>
        <w:rPr>
          <w:rFonts w:ascii="Times New Roman;Times;serif" w:hAnsi="Times New Roman;Times;serif"/>
          <w:sz w:val="22"/>
        </w:rPr>
        <w:t>by</w:t>
      </w:r>
      <w:r>
        <w:rPr>
          <w:rFonts w:ascii="Times New Roman;Times;serif" w:hAnsi="Times New Roman;Times;serif"/>
          <w:spacing w:val="-12"/>
          <w:sz w:val="22"/>
        </w:rPr>
        <w:t xml:space="preserve"> </w:t>
      </w:r>
      <w:r>
        <w:rPr>
          <w:rFonts w:ascii="Times New Roman;Times;serif" w:hAnsi="Times New Roman;Times;serif"/>
          <w:sz w:val="22"/>
        </w:rPr>
        <w:t>or</w:t>
      </w:r>
      <w:r>
        <w:rPr>
          <w:rFonts w:ascii="Times New Roman;Times;serif" w:hAnsi="Times New Roman;Times;serif"/>
          <w:spacing w:val="-12"/>
          <w:sz w:val="22"/>
        </w:rPr>
        <w:t xml:space="preserve"> </w:t>
      </w:r>
      <w:r>
        <w:rPr>
          <w:rFonts w:ascii="Times New Roman;Times;serif" w:hAnsi="Times New Roman;Times;serif"/>
          <w:sz w:val="22"/>
        </w:rPr>
        <w:t>between</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Lender</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Borrowers in connection with the Loans are hereby merged into the Loan Documents, as amended by this Amendment;</w:t>
      </w:r>
      <w:r>
        <w:rPr>
          <w:rFonts w:ascii="Times New Roman;Times;serif" w:hAnsi="Times New Roman;Times;serif"/>
          <w:spacing w:val="-8"/>
          <w:sz w:val="22"/>
        </w:rPr>
        <w:t xml:space="preserve"> </w:t>
      </w:r>
      <w:r>
        <w:rPr>
          <w:rFonts w:ascii="Times New Roman;Times;serif" w:hAnsi="Times New Roman;Times;serif"/>
          <w:sz w:val="22"/>
        </w:rPr>
        <w:t>shall</w:t>
      </w:r>
      <w:r>
        <w:rPr>
          <w:rFonts w:ascii="Times New Roman;Times;serif" w:hAnsi="Times New Roman;Times;serif"/>
          <w:spacing w:val="-8"/>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no</w:t>
      </w:r>
      <w:r>
        <w:rPr>
          <w:rFonts w:ascii="Times New Roman;Times;serif" w:hAnsi="Times New Roman;Times;serif"/>
          <w:spacing w:val="-9"/>
          <w:sz w:val="22"/>
        </w:rPr>
        <w:t xml:space="preserve"> </w:t>
      </w:r>
      <w:r>
        <w:rPr>
          <w:rFonts w:ascii="Times New Roman;Times;serif" w:hAnsi="Times New Roman;Times;serif"/>
          <w:sz w:val="22"/>
        </w:rPr>
        <w:t>further</w:t>
      </w:r>
      <w:r>
        <w:rPr>
          <w:rFonts w:ascii="Times New Roman;Times;serif" w:hAnsi="Times New Roman;Times;serif"/>
          <w:spacing w:val="-8"/>
          <w:sz w:val="22"/>
        </w:rPr>
        <w:t xml:space="preserve"> </w:t>
      </w:r>
      <w:r>
        <w:rPr>
          <w:rFonts w:ascii="Times New Roman;Times;serif" w:hAnsi="Times New Roman;Times;serif"/>
          <w:sz w:val="22"/>
        </w:rPr>
        <w:t>force</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8"/>
          <w:sz w:val="22"/>
        </w:rPr>
        <w:t xml:space="preserve"> </w:t>
      </w:r>
      <w:r>
        <w:rPr>
          <w:rFonts w:ascii="Times New Roman;Times;serif" w:hAnsi="Times New Roman;Times;serif"/>
          <w:sz w:val="22"/>
        </w:rPr>
        <w:t>effect;</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shall</w:t>
      </w:r>
      <w:r>
        <w:rPr>
          <w:rFonts w:ascii="Times New Roman;Times;serif" w:hAnsi="Times New Roman;Times;serif"/>
          <w:spacing w:val="-8"/>
          <w:sz w:val="22"/>
        </w:rPr>
        <w:t xml:space="preserve"> </w:t>
      </w:r>
      <w:r>
        <w:rPr>
          <w:rFonts w:ascii="Times New Roman;Times;serif" w:hAnsi="Times New Roman;Times;serif"/>
          <w:sz w:val="22"/>
        </w:rPr>
        <w:t>not</w:t>
      </w:r>
      <w:r>
        <w:rPr>
          <w:rFonts w:ascii="Times New Roman;Times;serif" w:hAnsi="Times New Roman;Times;serif"/>
          <w:spacing w:val="-8"/>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enforceable</w:t>
      </w:r>
      <w:r>
        <w:rPr>
          <w:rFonts w:ascii="Times New Roman;Times;serif" w:hAnsi="Times New Roman;Times;serif"/>
          <w:spacing w:val="-8"/>
          <w:sz w:val="22"/>
        </w:rPr>
        <w:t xml:space="preserve"> </w:t>
      </w:r>
      <w:r>
        <w:rPr>
          <w:rFonts w:ascii="Times New Roman;Times;serif" w:hAnsi="Times New Roman;Times;serif"/>
          <w:sz w:val="22"/>
        </w:rPr>
        <w:t>unless</w:t>
      </w:r>
      <w:r>
        <w:rPr>
          <w:rFonts w:ascii="Times New Roman;Times;serif" w:hAnsi="Times New Roman;Times;serif"/>
          <w:spacing w:val="-8"/>
          <w:sz w:val="22"/>
        </w:rPr>
        <w:t xml:space="preserve"> </w:t>
      </w:r>
      <w:r>
        <w:rPr>
          <w:rFonts w:ascii="Times New Roman;Times;serif" w:hAnsi="Times New Roman;Times;serif"/>
          <w:sz w:val="22"/>
        </w:rPr>
        <w:t>expressly</w:t>
      </w:r>
      <w:r>
        <w:rPr>
          <w:rFonts w:ascii="Times New Roman;Times;serif" w:hAnsi="Times New Roman;Times;serif"/>
          <w:spacing w:val="-6"/>
          <w:sz w:val="22"/>
        </w:rPr>
        <w:t xml:space="preserve"> </w:t>
      </w:r>
      <w:r>
        <w:rPr>
          <w:rFonts w:ascii="Times New Roman;Times;serif" w:hAnsi="Times New Roman;Times;serif"/>
          <w:sz w:val="22"/>
        </w:rPr>
        <w:t>set forth in the Loan Documents, as amended by this Amendment. All commitments, promises, and agreements of the parties hereto are set forth in this Amendment and the Loan Documents and no other commitments, promises, or agreements, oral or written, of any of the parties hereto shall be enforceable against any such party.</w:t>
      </w:r>
    </w:p>
    <w:p>
      <w:pPr>
        <w:pStyle w:val="TextBody"/>
        <w:pBdr/>
        <w:bidi w:val="0"/>
        <w:spacing w:before="240" w:after="283"/>
        <w:ind w:left="360" w:right="357" w:hanging="720"/>
        <w:jc w:val="both"/>
        <w:rPr/>
      </w:pPr>
      <w:r>
        <w:rPr/>
        <w:t>​</w:t>
      </w:r>
    </w:p>
    <w:p>
      <w:pPr>
        <w:pStyle w:val="TextBody"/>
        <w:bidi w:val="0"/>
        <w:spacing w:lineRule="auto" w:line="16"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4</w:t>
      </w:r>
    </w:p>
    <w:p>
      <w:pPr>
        <w:pStyle w:val="TextBody"/>
        <w:bidi w:val="0"/>
        <w:spacing w:lineRule="auto" w:line="16" w:before="13" w:after="0"/>
        <w:ind w:left="20" w:right="0" w:hanging="0"/>
        <w:jc w:val="left"/>
        <w:rPr>
          <w:rFonts w:ascii="Times New Roman;Times;serif" w:hAnsi="Times New Roman;Times;serif"/>
          <w:spacing w:val="-2"/>
          <w:sz w:val="16"/>
        </w:rPr>
      </w:pPr>
      <w:r>
        <w:rPr>
          <w:rFonts w:ascii="Times New Roman;Times;serif" w:hAnsi="Times New Roman;Times;serif"/>
          <w:spacing w:val="-2"/>
          <w:sz w:val="16"/>
        </w:rPr>
        <w:t>220514334</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360" w:right="358" w:hanging="0"/>
        <w:jc w:val="both"/>
        <w:rPr>
          <w:rFonts w:ascii="Times New Roman;Times;serif" w:hAnsi="Times New Roman;Times;serif"/>
          <w:sz w:val="22"/>
        </w:rPr>
      </w:pPr>
      <w:r>
        <w:rPr>
          <w:rFonts w:ascii="Times New Roman;Times;serif" w:hAnsi="Times New Roman;Times;serif"/>
          <w:sz w:val="22"/>
        </w:rPr>
        <w:t>15.</w:t>
      </w:r>
      <w:r>
        <w:rPr>
          <w:rFonts w:ascii="Times New Roman;Times;serif" w:hAnsi="Times New Roman;Times;serif"/>
          <w:sz w:val="22"/>
          <w:u w:val="single"/>
        </w:rPr>
        <w:t>Successors and Assigns.</w:t>
      </w:r>
      <w:r>
        <w:rPr>
          <w:rFonts w:ascii="Times New Roman;Times;serif" w:hAnsi="Times New Roman;Times;serif"/>
          <w:sz w:val="22"/>
        </w:rPr>
        <w:t xml:space="preserve"> This Amendment shall be binding upon and inure to the benefit of the parties hereto and their respective successors and assigns.</w:t>
      </w:r>
    </w:p>
    <w:p>
      <w:pPr>
        <w:pStyle w:val="TextBody"/>
        <w:bidi w:val="0"/>
        <w:spacing w:before="239" w:after="0"/>
        <w:ind w:left="360" w:right="357" w:hanging="0"/>
        <w:jc w:val="both"/>
        <w:rPr>
          <w:rFonts w:ascii="Times New Roman;Times;serif" w:hAnsi="Times New Roman;Times;serif"/>
          <w:sz w:val="22"/>
        </w:rPr>
      </w:pPr>
      <w:r>
        <w:rPr>
          <w:rFonts w:ascii="Times New Roman;Times;serif" w:hAnsi="Times New Roman;Times;serif"/>
          <w:sz w:val="22"/>
        </w:rPr>
        <w:t>16.</w:t>
      </w:r>
      <w:r>
        <w:rPr>
          <w:rFonts w:ascii="Times New Roman;Times;serif" w:hAnsi="Times New Roman;Times;serif"/>
          <w:sz w:val="22"/>
          <w:u w:val="single"/>
        </w:rPr>
        <w:t>Original Terms.</w:t>
      </w:r>
      <w:r>
        <w:rPr>
          <w:rFonts w:ascii="Times New Roman;Times;serif" w:hAnsi="Times New Roman;Times;serif"/>
          <w:sz w:val="22"/>
        </w:rPr>
        <w:t xml:space="preserve"> Except as expressly amended herein and in any prior amendment, the Loan Documents shall be and remain in full force and effect in accordance with their original terms.</w:t>
      </w:r>
    </w:p>
    <w:p>
      <w:pPr>
        <w:pStyle w:val="TextBody"/>
        <w:bidi w:val="0"/>
        <w:spacing w:before="240" w:after="0"/>
        <w:ind w:left="360" w:right="357" w:hanging="0"/>
        <w:jc w:val="both"/>
        <w:rPr>
          <w:rFonts w:ascii="Times New Roman;Times;serif" w:hAnsi="Times New Roman;Times;serif"/>
          <w:sz w:val="22"/>
        </w:rPr>
      </w:pPr>
      <w:r>
        <w:rPr>
          <w:rFonts w:ascii="Times New Roman;Times;serif" w:hAnsi="Times New Roman;Times;serif"/>
          <w:sz w:val="22"/>
        </w:rPr>
        <w:t>17.</w:t>
      </w:r>
      <w:r>
        <w:rPr>
          <w:rFonts w:ascii="Times New Roman;Times;serif" w:hAnsi="Times New Roman;Times;serif"/>
          <w:sz w:val="22"/>
          <w:u w:val="single"/>
        </w:rPr>
        <w:t>Counterparts.</w:t>
      </w:r>
      <w:r>
        <w:rPr>
          <w:rFonts w:ascii="Times New Roman;Times;serif" w:hAnsi="Times New Roman;Times;serif"/>
          <w:spacing w:val="-8"/>
          <w:sz w:val="22"/>
        </w:rPr>
        <w:t xml:space="preserve"> </w:t>
      </w:r>
      <w:r>
        <w:rPr>
          <w:rFonts w:ascii="Times New Roman;Times;serif" w:hAnsi="Times New Roman;Times;serif"/>
          <w:sz w:val="22"/>
        </w:rPr>
        <w:t>This</w:t>
      </w:r>
      <w:r>
        <w:rPr>
          <w:rFonts w:ascii="Times New Roman;Times;serif" w:hAnsi="Times New Roman;Times;serif"/>
          <w:spacing w:val="-8"/>
          <w:sz w:val="22"/>
        </w:rPr>
        <w:t xml:space="preserve"> </w:t>
      </w:r>
      <w:r>
        <w:rPr>
          <w:rFonts w:ascii="Times New Roman;Times;serif" w:hAnsi="Times New Roman;Times;serif"/>
          <w:sz w:val="22"/>
        </w:rPr>
        <w:t>Amendment</w:t>
      </w:r>
      <w:r>
        <w:rPr>
          <w:rFonts w:ascii="Times New Roman;Times;serif" w:hAnsi="Times New Roman;Times;serif"/>
          <w:spacing w:val="-8"/>
          <w:sz w:val="22"/>
        </w:rPr>
        <w:t xml:space="preserve"> </w:t>
      </w:r>
      <w:r>
        <w:rPr>
          <w:rFonts w:ascii="Times New Roman;Times;serif" w:hAnsi="Times New Roman;Times;serif"/>
          <w:sz w:val="22"/>
        </w:rPr>
        <w:t>may</w:t>
      </w:r>
      <w:r>
        <w:rPr>
          <w:rFonts w:ascii="Times New Roman;Times;serif" w:hAnsi="Times New Roman;Times;serif"/>
          <w:spacing w:val="-8"/>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executed</w:t>
      </w:r>
      <w:r>
        <w:rPr>
          <w:rFonts w:ascii="Times New Roman;Times;serif" w:hAnsi="Times New Roman;Times;serif"/>
          <w:spacing w:val="-8"/>
          <w:sz w:val="22"/>
        </w:rPr>
        <w:t xml:space="preserve"> </w:t>
      </w:r>
      <w:r>
        <w:rPr>
          <w:rFonts w:ascii="Times New Roman;Times;serif" w:hAnsi="Times New Roman;Times;serif"/>
          <w:sz w:val="22"/>
        </w:rPr>
        <w:t>in</w:t>
      </w:r>
      <w:r>
        <w:rPr>
          <w:rFonts w:ascii="Times New Roman;Times;serif" w:hAnsi="Times New Roman;Times;serif"/>
          <w:spacing w:val="-9"/>
          <w:sz w:val="22"/>
        </w:rPr>
        <w:t xml:space="preserve"> </w:t>
      </w:r>
      <w:r>
        <w:rPr>
          <w:rFonts w:ascii="Times New Roman;Times;serif" w:hAnsi="Times New Roman;Times;serif"/>
          <w:sz w:val="22"/>
        </w:rPr>
        <w:t>any</w:t>
      </w:r>
      <w:r>
        <w:rPr>
          <w:rFonts w:ascii="Times New Roman;Times;serif" w:hAnsi="Times New Roman;Times;serif"/>
          <w:spacing w:val="-8"/>
          <w:sz w:val="22"/>
        </w:rPr>
        <w:t xml:space="preserve"> </w:t>
      </w:r>
      <w:r>
        <w:rPr>
          <w:rFonts w:ascii="Times New Roman;Times;serif" w:hAnsi="Times New Roman;Times;serif"/>
          <w:sz w:val="22"/>
        </w:rPr>
        <w:t>number</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counterparts,</w:t>
      </w:r>
      <w:r>
        <w:rPr>
          <w:rFonts w:ascii="Times New Roman;Times;serif" w:hAnsi="Times New Roman;Times;serif"/>
          <w:spacing w:val="-9"/>
          <w:sz w:val="22"/>
        </w:rPr>
        <w:t xml:space="preserve"> </w:t>
      </w:r>
      <w:r>
        <w:rPr>
          <w:rFonts w:ascii="Times New Roman;Times;serif" w:hAnsi="Times New Roman;Times;serif"/>
          <w:sz w:val="22"/>
        </w:rPr>
        <w:t>all</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which</w:t>
      </w:r>
      <w:r>
        <w:rPr>
          <w:rFonts w:ascii="Times New Roman;Times;serif" w:hAnsi="Times New Roman;Times;serif"/>
          <w:spacing w:val="-8"/>
          <w:sz w:val="22"/>
        </w:rPr>
        <w:t xml:space="preserve"> </w:t>
      </w:r>
      <w:r>
        <w:rPr>
          <w:rFonts w:ascii="Times New Roman;Times;serif" w:hAnsi="Times New Roman;Times;serif"/>
          <w:sz w:val="22"/>
        </w:rPr>
        <w:t>taken together</w:t>
      </w:r>
      <w:r>
        <w:rPr>
          <w:rFonts w:ascii="Times New Roman;Times;serif" w:hAnsi="Times New Roman;Times;serif"/>
          <w:spacing w:val="-9"/>
          <w:sz w:val="22"/>
        </w:rPr>
        <w:t xml:space="preserve"> </w:t>
      </w:r>
      <w:r>
        <w:rPr>
          <w:rFonts w:ascii="Times New Roman;Times;serif" w:hAnsi="Times New Roman;Times;serif"/>
          <w:sz w:val="22"/>
        </w:rPr>
        <w:t>shall</w:t>
      </w:r>
      <w:r>
        <w:rPr>
          <w:rFonts w:ascii="Times New Roman;Times;serif" w:hAnsi="Times New Roman;Times;serif"/>
          <w:spacing w:val="-10"/>
          <w:sz w:val="22"/>
        </w:rPr>
        <w:t xml:space="preserve"> </w:t>
      </w:r>
      <w:r>
        <w:rPr>
          <w:rFonts w:ascii="Times New Roman;Times;serif" w:hAnsi="Times New Roman;Times;serif"/>
          <w:sz w:val="22"/>
        </w:rPr>
        <w:t>constitute</w:t>
      </w:r>
      <w:r>
        <w:rPr>
          <w:rFonts w:ascii="Times New Roman;Times;serif" w:hAnsi="Times New Roman;Times;serif"/>
          <w:spacing w:val="-10"/>
          <w:sz w:val="22"/>
        </w:rPr>
        <w:t xml:space="preserve"> </w:t>
      </w:r>
      <w:r>
        <w:rPr>
          <w:rFonts w:ascii="Times New Roman;Times;serif" w:hAnsi="Times New Roman;Times;serif"/>
          <w:sz w:val="22"/>
        </w:rPr>
        <w:t>one</w:t>
      </w:r>
      <w:r>
        <w:rPr>
          <w:rFonts w:ascii="Times New Roman;Times;serif" w:hAnsi="Times New Roman;Times;serif"/>
          <w:spacing w:val="-9"/>
          <w:sz w:val="22"/>
        </w:rPr>
        <w:t xml:space="preserve"> </w:t>
      </w:r>
      <w:r>
        <w:rPr>
          <w:rFonts w:ascii="Times New Roman;Times;serif" w:hAnsi="Times New Roman;Times;serif"/>
          <w:sz w:val="22"/>
        </w:rPr>
        <w:t>agreement,</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any</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parties</w:t>
      </w:r>
      <w:r>
        <w:rPr>
          <w:rFonts w:ascii="Times New Roman;Times;serif" w:hAnsi="Times New Roman;Times;serif"/>
          <w:spacing w:val="-9"/>
          <w:sz w:val="22"/>
        </w:rPr>
        <w:t xml:space="preserve"> </w:t>
      </w:r>
      <w:r>
        <w:rPr>
          <w:rFonts w:ascii="Times New Roman;Times;serif" w:hAnsi="Times New Roman;Times;serif"/>
          <w:sz w:val="22"/>
        </w:rPr>
        <w:t>hereto</w:t>
      </w:r>
      <w:r>
        <w:rPr>
          <w:rFonts w:ascii="Times New Roman;Times;serif" w:hAnsi="Times New Roman;Times;serif"/>
          <w:spacing w:val="-9"/>
          <w:sz w:val="22"/>
        </w:rPr>
        <w:t xml:space="preserve"> </w:t>
      </w:r>
      <w:r>
        <w:rPr>
          <w:rFonts w:ascii="Times New Roman;Times;serif" w:hAnsi="Times New Roman;Times;serif"/>
          <w:sz w:val="22"/>
        </w:rPr>
        <w:t>may</w:t>
      </w:r>
      <w:r>
        <w:rPr>
          <w:rFonts w:ascii="Times New Roman;Times;serif" w:hAnsi="Times New Roman;Times;serif"/>
          <w:spacing w:val="-9"/>
          <w:sz w:val="22"/>
        </w:rPr>
        <w:t xml:space="preserve"> </w:t>
      </w:r>
      <w:r>
        <w:rPr>
          <w:rFonts w:ascii="Times New Roman;Times;serif" w:hAnsi="Times New Roman;Times;serif"/>
          <w:sz w:val="22"/>
        </w:rPr>
        <w:t>execute</w:t>
      </w:r>
      <w:r>
        <w:rPr>
          <w:rFonts w:ascii="Times New Roman;Times;serif" w:hAnsi="Times New Roman;Times;serif"/>
          <w:spacing w:val="-9"/>
          <w:sz w:val="22"/>
        </w:rPr>
        <w:t xml:space="preserve"> </w:t>
      </w:r>
      <w:r>
        <w:rPr>
          <w:rFonts w:ascii="Times New Roman;Times;serif" w:hAnsi="Times New Roman;Times;serif"/>
          <w:sz w:val="22"/>
        </w:rPr>
        <w:t>this</w:t>
      </w:r>
      <w:r>
        <w:rPr>
          <w:rFonts w:ascii="Times New Roman;Times;serif" w:hAnsi="Times New Roman;Times;serif"/>
          <w:spacing w:val="-9"/>
          <w:sz w:val="22"/>
        </w:rPr>
        <w:t xml:space="preserve"> </w:t>
      </w:r>
      <w:r>
        <w:rPr>
          <w:rFonts w:ascii="Times New Roman;Times;serif" w:hAnsi="Times New Roman;Times;serif"/>
          <w:sz w:val="22"/>
        </w:rPr>
        <w:t>Amendment by signing any such counterpart. Delivery of an executed counterpart of a signature page of this Amendment by telecopy or PDF shall be effective as delivery of a</w:t>
      </w:r>
      <w:r>
        <w:rPr>
          <w:rFonts w:ascii="Times New Roman;Times;serif" w:hAnsi="Times New Roman;Times;serif"/>
          <w:spacing w:val="-1"/>
          <w:sz w:val="22"/>
        </w:rPr>
        <w:t xml:space="preserve"> </w:t>
      </w:r>
      <w:r>
        <w:rPr>
          <w:rFonts w:ascii="Times New Roman;Times;serif" w:hAnsi="Times New Roman;Times;serif"/>
          <w:sz w:val="22"/>
        </w:rPr>
        <w:t>manually executed counterpart of this Amendment.</w:t>
      </w:r>
    </w:p>
    <w:p>
      <w:pPr>
        <w:pStyle w:val="TextBody"/>
        <w:bidi w:val="0"/>
        <w:spacing w:before="240" w:after="0"/>
        <w:ind w:left="360" w:right="357" w:hanging="0"/>
        <w:jc w:val="both"/>
        <w:rPr>
          <w:rFonts w:ascii="Times New Roman;Times;serif" w:hAnsi="Times New Roman;Times;serif"/>
          <w:sz w:val="22"/>
        </w:rPr>
      </w:pPr>
      <w:r>
        <w:rPr>
          <w:rFonts w:ascii="Times New Roman;Times;serif" w:hAnsi="Times New Roman;Times;serif"/>
          <w:sz w:val="22"/>
        </w:rPr>
        <w:t>18.</w:t>
      </w:r>
      <w:r>
        <w:rPr>
          <w:rFonts w:ascii="Times New Roman;Times;serif" w:hAnsi="Times New Roman;Times;serif"/>
          <w:sz w:val="22"/>
          <w:u w:val="single"/>
        </w:rPr>
        <w:t>Severability</w:t>
      </w:r>
      <w:r>
        <w:rPr>
          <w:rFonts w:ascii="Times New Roman;Times;serif" w:hAnsi="Times New Roman;Times;serif"/>
          <w:spacing w:val="-9"/>
          <w:sz w:val="22"/>
          <w:u w:val="single"/>
        </w:rPr>
        <w:t xml:space="preserve"> </w:t>
      </w:r>
      <w:r>
        <w:rPr>
          <w:rFonts w:ascii="Times New Roman;Times;serif" w:hAnsi="Times New Roman;Times;serif"/>
          <w:sz w:val="22"/>
          <w:u w:val="single"/>
        </w:rPr>
        <w:t>of</w:t>
      </w:r>
      <w:r>
        <w:rPr>
          <w:rFonts w:ascii="Times New Roman;Times;serif" w:hAnsi="Times New Roman;Times;serif"/>
          <w:spacing w:val="-9"/>
          <w:sz w:val="22"/>
          <w:u w:val="single"/>
        </w:rPr>
        <w:t xml:space="preserve"> </w:t>
      </w:r>
      <w:r>
        <w:rPr>
          <w:rFonts w:ascii="Times New Roman;Times;serif" w:hAnsi="Times New Roman;Times;serif"/>
          <w:sz w:val="22"/>
          <w:u w:val="single"/>
        </w:rPr>
        <w:t>Provisions</w:t>
      </w:r>
      <w:r>
        <w:rPr>
          <w:rFonts w:ascii="Times New Roman;Times;serif" w:hAnsi="Times New Roman;Times;serif"/>
          <w:sz w:val="22"/>
        </w:rPr>
        <w:t>.</w:t>
      </w:r>
      <w:r>
        <w:rPr>
          <w:rFonts w:ascii="Times New Roman;Times;serif" w:hAnsi="Times New Roman;Times;serif"/>
          <w:spacing w:val="-10"/>
          <w:sz w:val="22"/>
        </w:rPr>
        <w:t xml:space="preserve"> </w:t>
      </w:r>
      <w:r>
        <w:rPr>
          <w:rFonts w:ascii="Times New Roman;Times;serif" w:hAnsi="Times New Roman;Times;serif"/>
          <w:sz w:val="22"/>
        </w:rPr>
        <w:t>Any</w:t>
      </w:r>
      <w:r>
        <w:rPr>
          <w:rFonts w:ascii="Times New Roman;Times;serif" w:hAnsi="Times New Roman;Times;serif"/>
          <w:spacing w:val="-9"/>
          <w:sz w:val="22"/>
        </w:rPr>
        <w:t xml:space="preserve"> </w:t>
      </w:r>
      <w:r>
        <w:rPr>
          <w:rFonts w:ascii="Times New Roman;Times;serif" w:hAnsi="Times New Roman;Times;serif"/>
          <w:sz w:val="22"/>
        </w:rPr>
        <w:t>provision</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this</w:t>
      </w:r>
      <w:r>
        <w:rPr>
          <w:rFonts w:ascii="Times New Roman;Times;serif" w:hAnsi="Times New Roman;Times;serif"/>
          <w:spacing w:val="-9"/>
          <w:sz w:val="22"/>
        </w:rPr>
        <w:t xml:space="preserve"> </w:t>
      </w:r>
      <w:r>
        <w:rPr>
          <w:rFonts w:ascii="Times New Roman;Times;serif" w:hAnsi="Times New Roman;Times;serif"/>
          <w:sz w:val="22"/>
        </w:rPr>
        <w:t>Amendment</w:t>
      </w:r>
      <w:r>
        <w:rPr>
          <w:rFonts w:ascii="Times New Roman;Times;serif" w:hAnsi="Times New Roman;Times;serif"/>
          <w:spacing w:val="-9"/>
          <w:sz w:val="22"/>
        </w:rPr>
        <w:t xml:space="preserve"> </w:t>
      </w:r>
      <w:r>
        <w:rPr>
          <w:rFonts w:ascii="Times New Roman;Times;serif" w:hAnsi="Times New Roman;Times;serif"/>
          <w:sz w:val="22"/>
        </w:rPr>
        <w:t>which</w:t>
      </w:r>
      <w:r>
        <w:rPr>
          <w:rFonts w:ascii="Times New Roman;Times;serif" w:hAnsi="Times New Roman;Times;serif"/>
          <w:spacing w:val="-9"/>
          <w:sz w:val="22"/>
        </w:rPr>
        <w:t xml:space="preserve"> </w:t>
      </w:r>
      <w:r>
        <w:rPr>
          <w:rFonts w:ascii="Times New Roman;Times;serif" w:hAnsi="Times New Roman;Times;serif"/>
          <w:sz w:val="22"/>
        </w:rPr>
        <w:t>is</w:t>
      </w:r>
      <w:r>
        <w:rPr>
          <w:rFonts w:ascii="Times New Roman;Times;serif" w:hAnsi="Times New Roman;Times;serif"/>
          <w:spacing w:val="-9"/>
          <w:sz w:val="22"/>
        </w:rPr>
        <w:t xml:space="preserve"> </w:t>
      </w:r>
      <w:r>
        <w:rPr>
          <w:rFonts w:ascii="Times New Roman;Times;serif" w:hAnsi="Times New Roman;Times;serif"/>
          <w:sz w:val="22"/>
        </w:rPr>
        <w:t>prohibited</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9"/>
          <w:sz w:val="22"/>
        </w:rPr>
        <w:t xml:space="preserve"> </w:t>
      </w:r>
      <w:r>
        <w:rPr>
          <w:rFonts w:ascii="Times New Roman;Times;serif" w:hAnsi="Times New Roman;Times;serif"/>
          <w:sz w:val="22"/>
        </w:rPr>
        <w:t>unenforceable shall be ineffective to the extent of such prohibition or unenforceability without invalidating the remaining provisions hereof.</w:t>
      </w:r>
    </w:p>
    <w:p>
      <w:pPr>
        <w:pStyle w:val="TextBody"/>
        <w:bidi w:val="0"/>
        <w:spacing w:before="241" w:after="283"/>
        <w:ind w:left="360" w:right="357" w:hanging="0"/>
        <w:jc w:val="both"/>
        <w:rPr>
          <w:rFonts w:ascii="Times New Roman;Times;serif" w:hAnsi="Times New Roman;Times;serif"/>
          <w:sz w:val="22"/>
        </w:rPr>
      </w:pPr>
      <w:r>
        <w:rPr>
          <w:rFonts w:ascii="Times New Roman;Times;serif" w:hAnsi="Times New Roman;Times;serif"/>
          <w:sz w:val="22"/>
        </w:rPr>
        <w:t>19.</w:t>
      </w:r>
      <w:r>
        <w:rPr>
          <w:rFonts w:ascii="Times New Roman;Times;serif" w:hAnsi="Times New Roman;Times;serif"/>
          <w:sz w:val="22"/>
          <w:u w:val="single"/>
        </w:rPr>
        <w:t>Jurisdiction, Venue; Waiver of Jury Trial</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u w:val="single"/>
        </w:rPr>
        <w:t>Section 8.14</w:t>
      </w:r>
      <w:r>
        <w:rPr>
          <w:rFonts w:ascii="Times New Roman;Times;serif" w:hAnsi="Times New Roman;Times;serif"/>
          <w:sz w:val="22"/>
        </w:rPr>
        <w:t xml:space="preserve"> of the Credit Agreement is hereby incorporated by reference as if fully set forth herein</w:t>
      </w:r>
    </w:p>
    <w:p>
      <w:pPr>
        <w:pStyle w:val="TextBody"/>
        <w:bidi w:val="0"/>
        <w:spacing w:before="239" w:after="0"/>
        <w:ind w:left="1" w:right="1" w:hanging="0"/>
        <w:jc w:val="center"/>
        <w:rPr>
          <w:rFonts w:ascii="Times New Roman;Times;serif" w:hAnsi="Times New Roman;Times;serif"/>
          <w:b/>
          <w:sz w:val="22"/>
        </w:rPr>
      </w:pPr>
      <w:r>
        <w:rPr>
          <w:rFonts w:ascii="Times New Roman;Times;serif" w:hAnsi="Times New Roman;Times;serif"/>
          <w:b/>
          <w:sz w:val="22"/>
        </w:rPr>
        <w:t>[REMAINDER</w:t>
      </w:r>
      <w:r>
        <w:rPr>
          <w:rFonts w:ascii="Times New Roman;Times;serif" w:hAnsi="Times New Roman;Times;serif"/>
          <w:b/>
          <w:spacing w:val="-10"/>
          <w:sz w:val="22"/>
        </w:rPr>
        <w:t xml:space="preserve"> </w:t>
      </w:r>
      <w:r>
        <w:rPr>
          <w:rFonts w:ascii="Times New Roman;Times;serif" w:hAnsi="Times New Roman;Times;serif"/>
          <w:b/>
          <w:sz w:val="22"/>
        </w:rPr>
        <w:t>OF</w:t>
      </w:r>
      <w:r>
        <w:rPr>
          <w:rFonts w:ascii="Times New Roman;Times;serif" w:hAnsi="Times New Roman;Times;serif"/>
          <w:b/>
          <w:spacing w:val="-9"/>
          <w:sz w:val="22"/>
        </w:rPr>
        <w:t xml:space="preserve"> </w:t>
      </w:r>
      <w:r>
        <w:rPr>
          <w:rFonts w:ascii="Times New Roman;Times;serif" w:hAnsi="Times New Roman;Times;serif"/>
          <w:b/>
          <w:sz w:val="22"/>
        </w:rPr>
        <w:t>PAGE</w:t>
      </w:r>
      <w:r>
        <w:rPr>
          <w:rFonts w:ascii="Times New Roman;Times;serif" w:hAnsi="Times New Roman;Times;serif"/>
          <w:b/>
          <w:spacing w:val="-10"/>
          <w:sz w:val="22"/>
        </w:rPr>
        <w:t xml:space="preserve"> </w:t>
      </w:r>
      <w:r>
        <w:rPr>
          <w:rFonts w:ascii="Times New Roman;Times;serif" w:hAnsi="Times New Roman;Times;serif"/>
          <w:b/>
          <w:sz w:val="22"/>
        </w:rPr>
        <w:t>INTENTIONALLY</w:t>
      </w:r>
      <w:r>
        <w:rPr>
          <w:rFonts w:ascii="Times New Roman;Times;serif" w:hAnsi="Times New Roman;Times;serif"/>
          <w:b/>
          <w:spacing w:val="-9"/>
          <w:sz w:val="22"/>
        </w:rPr>
        <w:t xml:space="preserve"> </w:t>
      </w:r>
      <w:r>
        <w:rPr>
          <w:rFonts w:ascii="Times New Roman;Times;serif" w:hAnsi="Times New Roman;Times;serif"/>
          <w:b/>
          <w:sz w:val="22"/>
        </w:rPr>
        <w:t>LEFT</w:t>
      </w:r>
      <w:r>
        <w:rPr>
          <w:rFonts w:ascii="Times New Roman;Times;serif" w:hAnsi="Times New Roman;Times;serif"/>
          <w:b/>
          <w:spacing w:val="-10"/>
          <w:sz w:val="22"/>
        </w:rPr>
        <w:t xml:space="preserve"> </w:t>
      </w:r>
      <w:r>
        <w:rPr>
          <w:rFonts w:ascii="Times New Roman;Times;serif" w:hAnsi="Times New Roman;Times;serif"/>
          <w:b/>
          <w:spacing w:val="-2"/>
          <w:sz w:val="22"/>
        </w:rPr>
        <w:t>BLANK]</w:t>
      </w:r>
    </w:p>
    <w:p>
      <w:pPr>
        <w:pStyle w:val="TextBody"/>
        <w:bidi w:val="0"/>
        <w:spacing w:lineRule="auto" w:line="16"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5</w:t>
      </w:r>
    </w:p>
    <w:p>
      <w:pPr>
        <w:pStyle w:val="TextBody"/>
        <w:bidi w:val="0"/>
        <w:spacing w:lineRule="auto" w:line="16" w:before="13" w:after="0"/>
        <w:ind w:left="20" w:right="0" w:hanging="0"/>
        <w:jc w:val="left"/>
        <w:rPr>
          <w:rFonts w:ascii="Times New Roman;Times;serif" w:hAnsi="Times New Roman;Times;serif"/>
          <w:spacing w:val="-2"/>
          <w:sz w:val="16"/>
        </w:rPr>
      </w:pPr>
      <w:r>
        <w:rPr>
          <w:rFonts w:ascii="Times New Roman;Times;serif" w:hAnsi="Times New Roman;Times;serif"/>
          <w:spacing w:val="-2"/>
          <w:sz w:val="16"/>
        </w:rPr>
        <w:t>220514334</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pBdr/>
        <w:bidi w:val="0"/>
        <w:spacing w:before="240" w:after="0"/>
        <w:ind w:left="360" w:right="357" w:hanging="720"/>
        <w:jc w:val="both"/>
        <w:rPr>
          <w:rFonts w:ascii="Times New Roman;Times;serif" w:hAnsi="Times New Roman;Times;serif"/>
          <w:sz w:val="22"/>
        </w:rPr>
      </w:pPr>
      <w:r>
        <w:rPr>
          <w:rFonts w:ascii="Times New Roman;Times;serif" w:hAnsi="Times New Roman;Times;serif"/>
          <w:sz w:val="22"/>
        </w:rPr>
        <w:t>IN WITNESS WHEREOF, the parties hereto have made and entered into this Amendment Agreement as of the day and year first above written.</w:t>
      </w:r>
    </w:p>
    <w:p>
      <w:pPr>
        <w:pStyle w:val="TextBody"/>
        <w:pBdr/>
        <w:bidi w:val="0"/>
        <w:spacing w:before="240" w:after="0"/>
        <w:ind w:left="360" w:right="357" w:hanging="720"/>
        <w:jc w:val="both"/>
        <w:rPr/>
      </w:pPr>
      <w:r>
        <w:rPr/>
        <w:t>​</w:t>
      </w:r>
    </w:p>
    <w:p>
      <w:pPr>
        <w:pStyle w:val="TextBody"/>
        <w:bidi w:val="0"/>
        <w:spacing w:before="0" w:after="240"/>
        <w:ind w:left="5040" w:right="0" w:hanging="0"/>
        <w:jc w:val="left"/>
        <w:rPr>
          <w:rFonts w:ascii="Times New Roman;Times;serif" w:hAnsi="Times New Roman;Times;serif"/>
          <w:sz w:val="22"/>
        </w:rPr>
      </w:pPr>
      <w:r>
        <w:rPr>
          <w:rFonts w:ascii="Times New Roman;Times;serif" w:hAnsi="Times New Roman;Times;serif"/>
          <w:b/>
          <w:sz w:val="22"/>
        </w:rPr>
        <w:t>BORROWERS</w:t>
      </w:r>
      <w:r>
        <w:rPr>
          <w:rFonts w:ascii="Times New Roman;Times;serif" w:hAnsi="Times New Roman;Times;serif"/>
          <w:sz w:val="22"/>
        </w:rPr>
        <w:t>:</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PDG, P.A., a Minnesota professional association</w:t>
      </w:r>
    </w:p>
    <w:p>
      <w:pPr>
        <w:pStyle w:val="TextBody"/>
        <w:bidi w:val="0"/>
        <w:spacing w:before="0" w:after="2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Christopher Steele, D.D.S​ ​</w:t>
      </w:r>
    </w:p>
    <w:p>
      <w:pPr>
        <w:pStyle w:val="TextBody"/>
        <w:bidi w:val="0"/>
        <w:spacing w:before="0" w:after="20"/>
        <w:ind w:left="5400" w:right="0" w:hanging="0"/>
        <w:jc w:val="left"/>
        <w:rPr>
          <w:rFonts w:ascii="Times New Roman;Times;serif" w:hAnsi="Times New Roman;Times;serif"/>
          <w:sz w:val="22"/>
        </w:rPr>
      </w:pPr>
      <w:r>
        <w:rPr>
          <w:rFonts w:ascii="Times New Roman;Times;serif" w:hAnsi="Times New Roman;Times;serif"/>
          <w:sz w:val="22"/>
        </w:rPr>
        <w:t>Christopher Steele, D.D.S.</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President</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ORTHODONTIC SPECIALISTS OF MINNESOTA, PLLC, a Minnesota professional limited liability company</w:t>
      </w:r>
    </w:p>
    <w:p>
      <w:pPr>
        <w:pStyle w:val="TextBody"/>
        <w:bidi w:val="0"/>
        <w:spacing w:before="0" w:after="2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Alan S. Law, D.D.S., PhD.​ ​</w:t>
      </w:r>
    </w:p>
    <w:p>
      <w:pPr>
        <w:pStyle w:val="TextBody"/>
        <w:bidi w:val="0"/>
        <w:spacing w:before="0" w:after="20"/>
        <w:ind w:left="5400" w:right="0" w:hanging="0"/>
        <w:jc w:val="left"/>
        <w:rPr>
          <w:rFonts w:ascii="Times New Roman;Times;serif" w:hAnsi="Times New Roman;Times;serif"/>
          <w:sz w:val="22"/>
        </w:rPr>
      </w:pPr>
      <w:r>
        <w:rPr>
          <w:rFonts w:ascii="Times New Roman;Times;serif" w:hAnsi="Times New Roman;Times;serif"/>
          <w:sz w:val="22"/>
        </w:rPr>
        <w:t>Alan S. Law, D.D.S., PhD.</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President</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DENTAL SPECIALISTS OF MINNESOTA, PLLC, a Minnesota professional limited liability company</w:t>
      </w:r>
    </w:p>
    <w:p>
      <w:pPr>
        <w:pStyle w:val="TextBody"/>
        <w:bidi w:val="0"/>
        <w:spacing w:before="0" w:after="2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Alan S. Law, D.D.S., PhD.​ ​</w:t>
      </w:r>
    </w:p>
    <w:p>
      <w:pPr>
        <w:pStyle w:val="TextBody"/>
        <w:bidi w:val="0"/>
        <w:spacing w:before="0" w:after="20"/>
        <w:ind w:left="5400" w:right="0" w:hanging="0"/>
        <w:jc w:val="left"/>
        <w:rPr>
          <w:rFonts w:ascii="Times New Roman;Times;serif" w:hAnsi="Times New Roman;Times;serif"/>
          <w:sz w:val="22"/>
        </w:rPr>
      </w:pPr>
      <w:r>
        <w:rPr>
          <w:rFonts w:ascii="Times New Roman;Times;serif" w:hAnsi="Times New Roman;Times;serif"/>
          <w:sz w:val="22"/>
        </w:rPr>
        <w:t>Alan S. Law, D.D.S., PhD.</w:t>
      </w:r>
    </w:p>
    <w:p>
      <w:pPr>
        <w:pStyle w:val="TextBody"/>
        <w:bidi w:val="0"/>
        <w:spacing w:before="0" w:after="0"/>
        <w:ind w:left="5400" w:right="0" w:hanging="0"/>
        <w:jc w:val="left"/>
        <w:rPr>
          <w:rFonts w:ascii="Times New Roman;Times;serif" w:hAnsi="Times New Roman;Times;serif"/>
          <w:sz w:val="22"/>
        </w:rPr>
      </w:pPr>
      <w:r>
        <w:rPr>
          <w:rFonts w:ascii="Times New Roman;Times;serif" w:hAnsi="Times New Roman;Times;serif"/>
          <w:sz w:val="22"/>
        </w:rPr>
        <w:t>Its President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Bank/Park Dental</w:t>
        <w:br/>
        <w:t>Second Amendment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5040" w:right="0" w:hanging="0"/>
        <w:jc w:val="left"/>
        <w:rPr/>
      </w:pPr>
      <w:r>
        <w:rPr/>
        <w:t>​</w:t>
      </w:r>
    </w:p>
    <w:p>
      <w:pPr>
        <w:pStyle w:val="TextBody"/>
        <w:bidi w:val="0"/>
        <w:spacing w:before="0" w:after="240"/>
        <w:ind w:left="5040" w:right="0" w:hanging="0"/>
        <w:jc w:val="left"/>
        <w:rPr/>
      </w:pPr>
      <w:r>
        <w:rPr/>
        <w:t>​</w:t>
      </w:r>
    </w:p>
    <w:p>
      <w:pPr>
        <w:pStyle w:val="TextBody"/>
        <w:bidi w:val="0"/>
        <w:spacing w:before="0" w:after="240"/>
        <w:ind w:left="5040" w:right="0" w:hanging="0"/>
        <w:jc w:val="left"/>
        <w:rPr>
          <w:rFonts w:ascii="Times New Roman;Times;serif" w:hAnsi="Times New Roman;Times;serif"/>
          <w:b/>
          <w:sz w:val="22"/>
        </w:rPr>
      </w:pPr>
      <w:r>
        <w:rPr>
          <w:rFonts w:ascii="Times New Roman;Times;serif" w:hAnsi="Times New Roman;Times;serif"/>
          <w:b/>
          <w:sz w:val="22"/>
        </w:rPr>
        <w:t>BORROWERS:</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PARK DENTAL PARTNERS, INC.,</w:t>
        <w:br/>
        <w:t>a Minnesota corporation</w:t>
      </w:r>
    </w:p>
    <w:p>
      <w:pPr>
        <w:pStyle w:val="TextBody"/>
        <w:bidi w:val="0"/>
        <w:spacing w:before="0" w:after="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Peter G. Swenson​ ​</w:t>
      </w:r>
    </w:p>
    <w:p>
      <w:pPr>
        <w:pStyle w:val="TextBody"/>
        <w:bidi w:val="0"/>
        <w:spacing w:before="0" w:after="0"/>
        <w:ind w:left="5400" w:right="0" w:hanging="0"/>
        <w:jc w:val="left"/>
        <w:rPr>
          <w:rFonts w:ascii="Times New Roman;Times;serif" w:hAnsi="Times New Roman;Times;serif"/>
          <w:sz w:val="22"/>
        </w:rPr>
      </w:pPr>
      <w:r>
        <w:rPr>
          <w:rFonts w:ascii="Times New Roman;Times;serif" w:hAnsi="Times New Roman;Times;serif"/>
          <w:sz w:val="22"/>
        </w:rPr>
        <w:t>Peter G. Swenson</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Chief Executive Officer</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THE FACIAL PAIN CENTER, PLLC,</w:t>
        <w:br/>
        <w:t>a Minnesota professional limited liability company</w:t>
      </w:r>
    </w:p>
    <w:p>
      <w:pPr>
        <w:pStyle w:val="TextBody"/>
        <w:bidi w:val="0"/>
        <w:spacing w:before="0" w:after="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Christopher Steele, D.D.S​ ​</w:t>
      </w:r>
    </w:p>
    <w:p>
      <w:pPr>
        <w:pStyle w:val="TextBody"/>
        <w:bidi w:val="0"/>
        <w:spacing w:before="0" w:after="0"/>
        <w:ind w:left="5400" w:right="0" w:hanging="0"/>
        <w:jc w:val="left"/>
        <w:rPr>
          <w:rFonts w:ascii="Times New Roman;Times;serif" w:hAnsi="Times New Roman;Times;serif"/>
          <w:sz w:val="22"/>
        </w:rPr>
      </w:pPr>
      <w:r>
        <w:rPr>
          <w:rFonts w:ascii="Times New Roman;Times;serif" w:hAnsi="Times New Roman;Times;serif"/>
          <w:sz w:val="22"/>
        </w:rPr>
        <w:t>Christopher Steele, D.D.S.</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Manager</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PDP MN, LLC, a Minnesota limited liability company</w:t>
      </w:r>
    </w:p>
    <w:p>
      <w:pPr>
        <w:pStyle w:val="TextBody"/>
        <w:bidi w:val="0"/>
        <w:spacing w:before="0" w:after="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Peter G. Swenson​ ​</w:t>
      </w:r>
    </w:p>
    <w:p>
      <w:pPr>
        <w:pStyle w:val="TextBody"/>
        <w:bidi w:val="0"/>
        <w:spacing w:before="0" w:after="0"/>
        <w:ind w:left="5400" w:right="0" w:hanging="0"/>
        <w:jc w:val="left"/>
        <w:rPr>
          <w:rFonts w:ascii="Times New Roman;Times;serif" w:hAnsi="Times New Roman;Times;serif"/>
          <w:sz w:val="22"/>
        </w:rPr>
      </w:pPr>
      <w:r>
        <w:rPr>
          <w:rFonts w:ascii="Times New Roman;Times;serif" w:hAnsi="Times New Roman;Times;serif"/>
          <w:sz w:val="22"/>
        </w:rPr>
        <w:t>Peter G. Swenson</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Chief Executive Officer</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PDP AZ, LLC, a Minnesota limited liability company</w:t>
      </w:r>
    </w:p>
    <w:p>
      <w:pPr>
        <w:pStyle w:val="TextBody"/>
        <w:bidi w:val="0"/>
        <w:spacing w:before="0" w:after="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Peter G. Swenson​ ​</w:t>
      </w:r>
    </w:p>
    <w:p>
      <w:pPr>
        <w:pStyle w:val="TextBody"/>
        <w:bidi w:val="0"/>
        <w:spacing w:before="0" w:after="0"/>
        <w:ind w:left="5400" w:right="0" w:hanging="0"/>
        <w:jc w:val="left"/>
        <w:rPr>
          <w:rFonts w:ascii="Times New Roman;Times;serif" w:hAnsi="Times New Roman;Times;serif"/>
          <w:sz w:val="22"/>
        </w:rPr>
      </w:pPr>
      <w:r>
        <w:rPr>
          <w:rFonts w:ascii="Times New Roman;Times;serif" w:hAnsi="Times New Roman;Times;serif"/>
          <w:sz w:val="22"/>
        </w:rPr>
        <w:t>Peter G. Swenson</w:t>
      </w:r>
    </w:p>
    <w:p>
      <w:pPr>
        <w:pStyle w:val="TextBody"/>
        <w:bidi w:val="0"/>
        <w:spacing w:before="0" w:after="480"/>
        <w:ind w:left="5400" w:right="0" w:hanging="0"/>
        <w:jc w:val="left"/>
        <w:rPr>
          <w:rFonts w:ascii="Times New Roman;Times;serif" w:hAnsi="Times New Roman;Times;serif"/>
          <w:sz w:val="22"/>
        </w:rPr>
      </w:pPr>
      <w:r>
        <w:rPr>
          <w:rFonts w:ascii="Times New Roman;Times;serif" w:hAnsi="Times New Roman;Times;serif"/>
          <w:sz w:val="22"/>
        </w:rPr>
        <w:t>Its Chief Executive Officer</w:t>
      </w:r>
    </w:p>
    <w:p>
      <w:pPr>
        <w:pStyle w:val="TextBody"/>
        <w:bidi w:val="0"/>
        <w:spacing w:lineRule="auto" w:line="331"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Bank/Park Dental</w:t>
        <w:br/>
        <w:t>Second Amendment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5040" w:right="0" w:hanging="0"/>
        <w:jc w:val="left"/>
        <w:rPr/>
      </w:pPr>
      <w:r>
        <w:rPr/>
        <w:t>​</w:t>
      </w:r>
    </w:p>
    <w:p>
      <w:pPr>
        <w:pStyle w:val="TextBody"/>
        <w:bidi w:val="0"/>
        <w:spacing w:before="0" w:after="240"/>
        <w:ind w:left="5040" w:right="0" w:hanging="0"/>
        <w:jc w:val="left"/>
        <w:rPr/>
      </w:pPr>
      <w:r>
        <w:rPr/>
        <w:t>​</w:t>
      </w:r>
    </w:p>
    <w:p>
      <w:pPr>
        <w:pStyle w:val="TextBody"/>
        <w:bidi w:val="0"/>
        <w:spacing w:before="0" w:after="240"/>
        <w:ind w:left="5040" w:right="0" w:hanging="0"/>
        <w:jc w:val="left"/>
        <w:rPr>
          <w:rFonts w:ascii="Times New Roman;Times;serif" w:hAnsi="Times New Roman;Times;serif"/>
          <w:sz w:val="22"/>
        </w:rPr>
      </w:pPr>
      <w:r>
        <w:rPr>
          <w:rFonts w:ascii="Times New Roman;Times;serif" w:hAnsi="Times New Roman;Times;serif"/>
          <w:b/>
          <w:sz w:val="22"/>
        </w:rPr>
        <w:t>LENDER</w:t>
      </w:r>
      <w:r>
        <w:rPr>
          <w:rFonts w:ascii="Times New Roman;Times;serif" w:hAnsi="Times New Roman;Times;serif"/>
          <w:sz w:val="22"/>
        </w:rPr>
        <w:t>:</w:t>
      </w:r>
    </w:p>
    <w:p>
      <w:pPr>
        <w:pStyle w:val="TextBody"/>
        <w:bidi w:val="0"/>
        <w:spacing w:before="0" w:after="480"/>
        <w:ind w:left="5040" w:right="0" w:hanging="0"/>
        <w:jc w:val="left"/>
        <w:rPr>
          <w:rFonts w:ascii="Times New Roman;Times;serif" w:hAnsi="Times New Roman;Times;serif"/>
          <w:sz w:val="22"/>
        </w:rPr>
      </w:pPr>
      <w:r>
        <w:rPr>
          <w:rFonts w:ascii="Times New Roman;Times;serif" w:hAnsi="Times New Roman;Times;serif"/>
          <w:sz w:val="22"/>
        </w:rPr>
        <w:t>U.S. BANK NATIONAL ASSOCIATION, a national banking association</w:t>
      </w:r>
    </w:p>
    <w:p>
      <w:pPr>
        <w:pStyle w:val="TextBody"/>
        <w:bidi w:val="0"/>
        <w:spacing w:before="0" w:after="0"/>
        <w:ind w:left="504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Amber Koens​ ​</w:t>
      </w:r>
    </w:p>
    <w:p>
      <w:pPr>
        <w:pStyle w:val="TextBody"/>
        <w:bidi w:val="0"/>
        <w:spacing w:before="0" w:after="0"/>
        <w:ind w:left="5040" w:right="0" w:hanging="0"/>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Name: Amber Koens</w:t>
      </w:r>
      <w:r>
        <mc:AlternateContent>
          <mc:Choice Requires="wps">
            <w:drawing>
              <wp:anchor behindDoc="0" distT="0" distB="0" distL="0" distR="0" simplePos="0" locked="0" layoutInCell="1" allowOverlap="1" relativeHeight="280">
                <wp:simplePos x="0" y="0"/>
                <wp:positionH relativeFrom="page">
                  <wp:posOffset>0</wp:posOffset>
                </wp:positionH>
                <wp:positionV relativeFrom="line">
                  <wp:posOffset>635</wp:posOffset>
                </wp:positionV>
                <wp:extent cx="6480175" cy="175260"/>
                <wp:effectExtent l="0" t="0" r="0" b="0"/>
                <wp:wrapNone/>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5040" w:right="0" w:hanging="0"/>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Its: Vice President</w:t>
      </w:r>
      <w:r>
        <mc:AlternateContent>
          <mc:Choice Requires="wps">
            <w:drawing>
              <wp:anchor behindDoc="0" distT="0" distB="0" distL="0" distR="0" simplePos="0" locked="0" layoutInCell="1" allowOverlap="1" relativeHeight="281">
                <wp:simplePos x="0" y="0"/>
                <wp:positionH relativeFrom="page">
                  <wp:posOffset>0</wp:posOffset>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Bank/Park Dental</w:t>
        <w:br/>
        <w:t>Second Amendment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TextBody"/>
        <w:bidi w:val="0"/>
        <w:spacing w:lineRule="auto" w:line="16" w:before="240" w:after="6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bookmarkStart w:id="953" w:name="_Hlk224724429"/>
      <w:bookmarkStart w:id="954" w:name="park-20260331xex31d1.htm"/>
      <w:bookmarkStart w:id="955" w:name="kspark20260331xex31d1"/>
      <w:bookmarkEnd w:id="953"/>
      <w:bookmarkEnd w:id="954"/>
      <w:bookmarkEnd w:id="955"/>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REQUIRED BY 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Peter G. Swenson, certify that:</w:t>
      </w:r>
    </w:p>
    <w:p>
      <w:pPr>
        <w:pStyle w:val="TextBody"/>
        <w:bidi w:val="0"/>
        <w:spacing w:lineRule="auto" w:line="285"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Park Dental Partners,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lineRule="auto" w:line="285" w:before="0" w:after="0"/>
        <w:ind w:left="1170" w:right="0" w:firstLine="450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/s/ Peter G. Swenson</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Peter G. Swenson</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President and Chief Executive Officer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bookmarkStart w:id="956" w:name="park-20260331xex31d2.htm"/>
      <w:bookmarkStart w:id="957" w:name="kspark20260331xex31d2"/>
      <w:bookmarkEnd w:id="956"/>
      <w:bookmarkEnd w:id="957"/>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REQUIRED BY 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Christopher J. Bernander, certify that:</w:t>
      </w:r>
    </w:p>
    <w:p>
      <w:pPr>
        <w:pStyle w:val="TextBody"/>
        <w:bidi w:val="0"/>
        <w:spacing w:lineRule="auto" w:line="285"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Park Dental Partners,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lineRule="auto" w:line="285" w:before="0" w:after="0"/>
        <w:ind w:left="1170" w:right="0" w:firstLine="450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 xml:space="preserve">/s/ Christopher J. Bernander </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Christopher J. Bernander</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Chief Financial Officer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bookmarkStart w:id="958" w:name="park-20260331xex32d1.htm"/>
      <w:bookmarkStart w:id="959" w:name="kspark20260331xex32d1"/>
      <w:bookmarkEnd w:id="958"/>
      <w:bookmarkEnd w:id="959"/>
      <w:r>
        <w:rPr>
          <w:rFonts w:ascii="Times New Roman;Times;serif" w:hAnsi="Times New Roman;Times;serif"/>
          <w:b/>
          <w:sz w:val="24"/>
        </w:rPr>
        <w:t>PARK DENTAL PARTNERS, INC.</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CERTIFICATION OF THE CHIEF EXECUTIVE OFFICER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18 U.S.C. SECTION 1350,</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AS ADOPTED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In connection with the Quarterly Report on Form 10-Q of Park Dental Partners, Inc. (the “Company”) for the quarterly period ended March 31, 2026 as filed with the Securities and Exchange Commission on the date hereof (the “Report”), I, Peter G. Swenson, Chief Executive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0"/>
        <w:gridCol w:w="9902"/>
      </w:tblGrid>
      <w:tr>
        <w:trPr/>
        <w:tc>
          <w:tcPr>
            <w:tcW w:w="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0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/s/ Peter G. Swenson</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Peter G. Swenson</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Chief Executive Officer</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Date: May 14,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bookmarkStart w:id="960" w:name="park-20260331xex32d2.htm"/>
      <w:bookmarkStart w:id="961" w:name="kspark20260331xex32d2"/>
      <w:bookmarkEnd w:id="960"/>
      <w:bookmarkEnd w:id="961"/>
      <w:r>
        <w:rPr>
          <w:rFonts w:ascii="Times New Roman;Times;serif" w:hAnsi="Times New Roman;Times;serif"/>
          <w:b/>
          <w:sz w:val="24"/>
        </w:rPr>
        <w:t>PARK DENTAL PARTNERS, INC.</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CERTIFICATION OF THE CHIEF FINANCIAL OFFICER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18 U.S.C. SECTION 1350,</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AS ADOPTED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In connection with the Quarterly Report on Form 10-Q of Park Dental Partners, Inc. (the “Company”) for the quarterly period ended March 31, 2026 as filed with the Securities and Exchange Commission on the date hereof (the “Report”), I, Christopher J. Bernander, Chief Financial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0"/>
        <w:gridCol w:w="9902"/>
      </w:tblGrid>
      <w:tr>
        <w:trPr/>
        <w:tc>
          <w:tcPr>
            <w:tcW w:w="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0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/s/ Christopher J. Bernander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Christopher J. Bernander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Chief Financial Officer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Date: May 14,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9604/000110465925086768/tm2514579d6_ex3-2.htm" TargetMode="External"/><Relationship Id="rId3" Type="http://schemas.openxmlformats.org/officeDocument/2006/relationships/hyperlink" Target="https://www.sec.gov/Archives/edgar/data/2069604/000110465925086768/tm2514579d6_ex3-3.htm" TargetMode="External"/><Relationship Id="rId4" Type="http://schemas.openxmlformats.org/officeDocument/2006/relationships/hyperlink" Target="https://www.sec.gov/Archives/edgar/data/2069604/000110465925086768/tm2514579d6_ex3-4.htm" TargetMode="External"/><Relationship Id="rId5" Type="http://schemas.openxmlformats.org/officeDocument/2006/relationships/hyperlink" Target="https://www.sec.gov/Archives/edgar/data/2069604/000110465925118514/tm2514579d20_ex4-1.htm" TargetMode="External"/><Relationship Id="rId6" Type="http://schemas.openxmlformats.org/officeDocument/2006/relationships/hyperlink" Target="https://www.sec.gov/Archives/edgar/data/2069604/000110465925086768/tm2514579d6_ex10-1.htm" TargetMode="External"/><Relationship Id="rId7" Type="http://schemas.openxmlformats.org/officeDocument/2006/relationships/hyperlink" Target="https://www.sec.gov/Archives/edgar/data/2069604/000110465926017525/tm266556d1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18880</Words>
  <Characters>106466</Characters>
  <CharactersWithSpaces>126121</CharactersWithSpaces>
  <Paragraphs>4092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